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https://www.cnmc.es/expedientes/s001121</w:t>
      </w:r>
    </w:p>
    <w:p>
      <w:r>
        <w:t>Pages translated : 10</w:t>
      </w:r>
    </w:p>
    <w:p/>
    <w:p>
      <w:r>
        <w:rPr>
          <w:b/>
        </w:rPr>
        <w:t>[Pages 1–3]</w:t>
      </w:r>
    </w:p>
    <w:p>
      <w:r>
        <w:t>S/0011/21</w:t>
        <w:br/>
        <w:t>VTC PRECONTRACTING</w:t>
        <w:br/>
        <w:t>AGREEMENT OF NON-INITIATION AND FILING OF THE</w:t>
        <w:br/>
        <w:t>PROCEEDINGS</w:t>
        <w:br/>
        <w:t>VTC PRECONTRACTING</w:t>
        <w:br/>
        <w:t>S/0011/21</w:t>
        <w:br/>
        <w:t>COUNCIL. COMPETITION CHAMBER</w:t>
        <w:br/>
        <w:t>President</w:t>
        <w:br/>
        <w:t>Ms. Cani Fernández Vicién</w:t>
        <w:br/>
        <w:t>Councillors</w:t>
        <w:br/>
        <w:t>Ms. Pilar Sánchez Núñez</w:t>
        <w:br/>
        <w:t>Mr. Rafael Iturriaga Nieva</w:t>
        <w:br/>
        <w:t>Mr. Pere Soler Campins</w:t>
        <w:br/>
        <w:t>Ms. María Vidales Picazo</w:t>
        <w:br/>
        <w:t>Secretary of the Council</w:t>
        <w:br/>
        <w:t>Mr. Miguel Bordiu García-Ovies</w:t>
        <w:br/>
        <w:t>In Madrid, on May 14, 2025</w:t>
        <w:br/>
        <w:t>The Competition Chamber of the Council of the National Commission of Markets</w:t>
        <w:br/>
        <w:t>and Competition, with the composition expressed, has issued the following agreement</w:t>
        <w:br/>
        <w:t>in the referenced procedure processed by the Competition Directorate for</w:t>
        <w:br/>
        <w:t>alleged anticompetitive practices contrary to Article 3 of Law 15/2007,</w:t>
        <w:br/>
        <w:t>of July 3, on the Defense of Competition.</w:t>
        <w:br/>
        <w:t>National Commission of Markets and Competition 1 of 10</w:t>
        <w:br/>
        <w:t>C/ Alcalá, 47 – 28014 Madrid - C/ Bolivia, 56 – 08018 Barcelona</w:t>
        <w:br/>
        <w:t>www.cnmc.es</w:t>
      </w:r>
    </w:p>
    <w:p>
      <w:r>
        <w:t>S/0011/21</w:t>
        <w:br/>
        <w:t>VTC PRECONTRACTING</w:t>
        <w:br/>
        <w:t>TABLE OF CONTENTS</w:t>
        <w:br/>
        <w:t>1. BACKGROUND ........................................................................................ 3</w:t>
        <w:br/>
        <w:t>2. THE PARTIES .......................................................................................... 5</w:t>
        <w:br/>
        <w:t>2.1. Complainant: NATIONAL TAXI ASSOCIATION ..................................... 5</w:t>
        <w:br/>
        <w:t>2.2. Respondents ................................................................................................. 5</w:t>
        <w:br/>
        <w:t>2.2.1. MAXI MOBILITY SPAIN, S.L. .............................................................................. 5</w:t>
        <w:br/>
        <w:t>2.2.2. MIURCHI CAR S.L. ............................................................................................. 5</w:t>
        <w:br/>
        <w:t>2.2.3. PRESTIGE AND LIMOUSINE S.L. ...................................................................... 5</w:t>
        <w:br/>
        <w:t>3. AFFECTED MARKET .............................................................................. 5</w:t>
        <w:br/>
        <w:t>4. REPORTED FACTS .................................................................................. 6</w:t>
        <w:br/>
        <w:t>5. LEGAL GROUNDS ................................................................................... 8</w:t>
        <w:br/>
        <w:t>5.1. Competence to Resolve ......................................................................... 8</w:t>
        <w:br/>
        <w:t>5.2. Proposal of the instructing body ............................................................... 8</w:t>
        <w:br/>
        <w:t>5.3. Assessment of the Competition Chamber .............................................. 8</w:t>
        <w:br/>
        <w:t>6. AGREES ................................................................................................... 10</w:t>
        <w:br/>
        <w:t>National Commission of Markets and Competition 2 of 10</w:t>
        <w:br/>
        <w:t>C/ Alcalá, 47 – 28014 Madrid - C/ Bolivia, 56 – 08018 Barcelona</w:t>
        <w:br/>
        <w:t>www.cnmc.es</w:t>
      </w:r>
    </w:p>
    <w:p>
      <w:r>
        <w:t>S/0011/21</w:t>
        <w:br/>
        <w:t>VTC PRECONTRACTING</w:t>
        <w:br/>
        <w:t>1. BACKGROUND</w:t>
        <w:br/>
        <w:t>(1) On November 5, 2020, two complaints were filed with the Competition Directorate of</w:t>
        <w:br/>
        <w:t>the National Commission of Markets and Competition (CNMC) by the National Taxi Association (ANTAXI) against companies</w:t>
        <w:br/>
        <w:t>engaged in the provision of passenger transport vehicle services with driver (VTC). Specifically, against:</w:t>
        <w:br/>
        <w:t>- MAXI MOBILITY SPAIN S.L. (MAXI MOBILITY), holder of the Cabify application in Spain, and against PRESTIGE AND LIMOUSINE S.L. (PRESTIGE</w:t>
        <w:br/>
        <w:t>AND LIMOUSINE) for its activity carried out in Catalonia.</w:t>
        <w:br/>
        <w:t>- MIURCHI CAR, S.L. (MIURCHI), manager of the Cabify application in the</w:t>
        <w:br/>
        <w:t>Valencian Community and Aragón, for its activity carried out in the</w:t>
        <w:br/>
        <w:t>Valencian Community.</w:t>
        <w:br/>
        <w:t>(2) This complaint was supplemented by respective letters of additional information,</w:t>
        <w:br/>
        <w:t>sent on the following dates:</w:t>
        <w:br/>
        <w:t>Table 1. Letters of additional information provided by the complainant</w:t>
        <w:br/>
        <w:t>Date Pages</w:t>
        <w:br/>
        <w:t>04/06/2021 147-472</w:t>
        <w:br/>
        <w:t>03/11/2022 517-526</w:t>
        <w:br/>
        <w:t>05/19/2021 492-499</w:t>
        <w:br/>
        <w:t>06/09/2021 500-516</w:t>
        <w:br/>
        <w:t>(3) In view of the complaint letters, the Competition Directorate initiated a</w:t>
        <w:br/>
        <w:t>reserved inquiry within the framework of the referenced file, in accordance</w:t>
        <w:br/>
        <w:t>with the provisions of section 2 of Article 49 of Law 15/2007, of July 3, on</w:t>
        <w:br/>
        <w:t>the Defense of Competition (LDC), in order to preliminarily determine the existence of circumstances that justify the initiation of</w:t>
        <w:br/>
        <w:t>sanctioning proceedings.</w:t>
        <w:br/>
        <w:t>(4) During the following months, in accordance with the provisions of Article 39.1 of</w:t>
        <w:br/>
        <w:t>the LDC, the Competition Directorate issued various information requests that were answered on the subsequent dates:</w:t>
        <w:br/>
        <w:t>1 The complaint against MAXI MOBILITY and PRESTIGE AND LIMOUSINE is found in pages 1 to 27 of the file; the complaint against MIURCHI CAR is found in pages 44 to 95.</w:t>
        <w:br/>
        <w:t>National Commission of Markets and Competition 3 of 10</w:t>
        <w:br/>
        <w:t>C/ Alcalá, 47 – 28014 Madrid - C/ Bolivia, 56 – 08018 Barcelona</w:t>
        <w:br/>
        <w:t>www.cnmc.es</w:t>
      </w:r>
    </w:p>
    <w:p>
      <w:r>
        <w:rPr>
          <w:b/>
        </w:rPr>
        <w:t>[Pages 4–6]</w:t>
      </w:r>
    </w:p>
    <w:p>
      <w:r>
        <w:t xml:space="preserve">S/0011/21  </w:t>
        <w:br/>
        <w:t xml:space="preserve">VTC PRECONTRACTING  </w:t>
        <w:br/>
        <w:t xml:space="preserve">Table 2. Information requests issued by the Competition Directorate  </w:t>
        <w:br/>
        <w:t xml:space="preserve">Date Pages Date Pages  </w:t>
        <w:br/>
        <w:t xml:space="preserve">Recipient  </w:t>
        <w:br/>
        <w:t xml:space="preserve">request request response response  </w:t>
        <w:br/>
        <w:t xml:space="preserve">MIURCHI 04/12/2022 1228-1257  </w:t>
        <w:br/>
        <w:t xml:space="preserve">PRESTIGE  </w:t>
        <w:br/>
        <w:t xml:space="preserve">527-529  </w:t>
        <w:br/>
        <w:t xml:space="preserve">AND 04/12/2022 1283-1312  </w:t>
        <w:br/>
        <w:t xml:space="preserve">03/22/2022  </w:t>
        <w:br/>
        <w:t xml:space="preserve">LIMOUSINE  </w:t>
        <w:br/>
        <w:t xml:space="preserve">ANTAXI 540-542 04/12/2022 1176-1188  </w:t>
        <w:br/>
        <w:t xml:space="preserve">MAXI MOBILITY 547-549 04/12/2022 1189-1198  </w:t>
        <w:br/>
        <w:t xml:space="preserve">Ministry of  </w:t>
        <w:br/>
        <w:t xml:space="preserve">03/25/2022 and Transport, 554-555 and 1522-  </w:t>
        <w:br/>
        <w:t xml:space="preserve">12/12/2022 1541-1547  </w:t>
        <w:br/>
        <w:t xml:space="preserve">12/01/2022 Mobility and 1523  </w:t>
        <w:br/>
        <w:t xml:space="preserve">Urban Agenda  </w:t>
        <w:br/>
        <w:t xml:space="preserve">Valencian 04/06/2022 and 565-1172 and  </w:t>
        <w:br/>
        <w:t xml:space="preserve">03/25/2022 557-559  </w:t>
        <w:br/>
        <w:t xml:space="preserve">Government 04/07/2022 1175  </w:t>
        <w:br/>
        <w:t xml:space="preserve">Government of No response recorded in the  </w:t>
        <w:br/>
        <w:t xml:space="preserve">03/25/2022 561-563  </w:t>
        <w:br/>
        <w:t xml:space="preserve">Catalonia file  </w:t>
        <w:br/>
        <w:t xml:space="preserve">04/27/2022 ANTAXI 1373-1375 10/17/2022 1378-1382  </w:t>
        <w:br/>
        <w:t xml:space="preserve">MOOVE CARS  </w:t>
        <w:br/>
        <w:t xml:space="preserve">SUSTAINABLE  </w:t>
        <w:br/>
        <w:t xml:space="preserve">1383-1385 12/02/2022 1525-1540  </w:t>
        <w:br/>
        <w:t xml:space="preserve">TRANSPORT,  </w:t>
        <w:br/>
        <w:t xml:space="preserve">S.L. (MOOVE)  </w:t>
        <w:br/>
        <w:t xml:space="preserve">UBER  </w:t>
        <w:br/>
        <w:t xml:space="preserve">SYSTEMS  </w:t>
        <w:br/>
        <w:t xml:space="preserve">03/11/2022 1389-1391 11/25/2022 1498-1507  </w:t>
        <w:br/>
        <w:t xml:space="preserve">SPAIN, S.L.  </w:t>
        <w:br/>
        <w:t xml:space="preserve">(UBER)  </w:t>
        <w:br/>
        <w:t xml:space="preserve">VECTOR  </w:t>
        <w:br/>
        <w:t xml:space="preserve">RONDA  </w:t>
        <w:br/>
        <w:t xml:space="preserve">1386-1388 11/23/2022 1399-1480  </w:t>
        <w:br/>
        <w:t xml:space="preserve">TELEPORT,  </w:t>
        <w:br/>
        <w:t xml:space="preserve">S.L. (VECTOR)  </w:t>
        <w:br/>
        <w:t xml:space="preserve">12/01/2022 MAXI MOBILITY 1517-1519 12/23/2022 1548-1557  </w:t>
        <w:br/>
        <w:t xml:space="preserve">(5) On May 25, 2023, in compliance with the provisions of Article 27 of the  </w:t>
        <w:br/>
        <w:t xml:space="preserve">Competition Defense Regulation, approved by Royal Decree 261/2008, of February 22 (RDC), the Competition Directorate sent the Council a proposal for the non-initiation of sanctioning proceedings and the filing of the actions, considering that the reported facts did not show indications of infringement of the LDC.  </w:t>
        <w:br/>
        <w:t xml:space="preserve">(6) The Competition Chamber of the CNMC Council has deliberated and ruled on the matter in its meeting of May 14, 2025.  </w:t>
        <w:br/>
        <w:t xml:space="preserve">2 Pages 1595 to 1640.  </w:t>
        <w:br/>
        <w:t xml:space="preserve">National Commission of Markets and Competition 4 of 10  </w:t>
        <w:br/>
        <w:t xml:space="preserve">C/ Alcalá, 47 – 28014 Madrid - C/ Bolivia, 56 – 08018 Barcelona  </w:t>
        <w:br/>
        <w:t>www.cnmc.es</w:t>
      </w:r>
    </w:p>
    <w:p>
      <w:r>
        <w:t xml:space="preserve">S/0011/21  </w:t>
        <w:br/>
        <w:t xml:space="preserve">VTC PRECONTRACTING  </w:t>
        <w:br/>
        <w:t xml:space="preserve">2. THE PARTIES  </w:t>
        <w:br/>
        <w:t xml:space="preserve">2.1. Complainant: NATIONAL TAXI ASSOCIATION  </w:t>
        <w:br/>
        <w:t xml:space="preserve">(7) The National Taxi Association (ANTAXI) aims to promote and develop the taxi transport sector.  </w:t>
        <w:br/>
        <w:t xml:space="preserve">2.2. Respondents  </w:t>
        <w:br/>
        <w:t xml:space="preserve">2.2.1. MAXI MOBILITY SPAIN, S.L.  </w:t>
        <w:br/>
        <w:t xml:space="preserve">(8) MAXI MOBILITY SPAIN, S.L. (MAXI MOBILITY) is the company that owns the Cabify application. Established in 2011, and based in Madrid, its corporate purpose is the development, execution, provision, and marketing of all types of applications for mobile terminals, leasing of transport vehicles with drivers, provision of discretionary public transport services for passengers, and activities typical of travel agencies for mediation. It has been renamed CABIFY ESPAÑA S.L. (CABIFY).  </w:t>
        <w:br/>
        <w:t xml:space="preserve">2.2.2. MIURCHI CAR S.L.  </w:t>
        <w:br/>
        <w:t xml:space="preserve">(9) MIURCHI CAR S.L. (MIURCHI) is a company that is part of the CABIFY Group, with CABIFY ESPAÑA S.L. as its sole shareholder. MIURCHI has entered into a contract with CABIFY for the use of the Cabify application in the areas of the Valencian Community and Aragón. This means that in practice, in the areas of the Valencian Community and Aragón, it is the company that is managing the application that connects users and providers of transport services.  </w:t>
        <w:br/>
        <w:t xml:space="preserve">2.2.3. PRESTIGE AND LIMOUSINE S.L.  </w:t>
        <w:br/>
        <w:t xml:space="preserve">(10) PRESTIGE AND LIMOUSINE S.L. (PRESTIGE AND LIMOUSINE) is a company that is part of the CABIFY Group, with CABIFY ESPAÑA, S.L. as its sole shareholder. PRESTIGE AND LIMOUSINE has entered into a contract with CABIFY for the use of the Cabify application in the area of Catalonia. This means that in practice, in Catalonia, it is the company that is managing the application that connects users and providers of transport services.  </w:t>
        <w:br/>
        <w:t xml:space="preserve">3. AFFECTED MARKET  </w:t>
        <w:br/>
        <w:t xml:space="preserve">(11) In this matter, the market for the provision of intermediation services for the hiring of taxi and VTC trips through mobile applications has been analyzed, within the scope of the Autonomous Communities of Catalonia and Valencia.  </w:t>
        <w:br/>
        <w:t xml:space="preserve">4. REPORTED FACTS  </w:t>
        <w:br/>
        <w:t xml:space="preserve">(12) The economic activity to which the reported facts pertain is developed within a specific regulatory framework that is extensively regulated. Specifically, Royal Decree-law 13/2018, of September 28, which amends the LOTT, includes an authorization for the autonomous communities that are competent, by delegation of the State, to grant national VTC authorizations, to modify the operating conditions provided in article 182.1 of the ROTT, including the precontracting of the service.  </w:t>
        <w:br/>
        <w:t xml:space="preserve">(13) In this regard, concerning the present agreement, it is worth referring to the regulations established in cities such as Barcelona or Valencia that require VTC passengers to precontract these services with a certain advance notice. However, in the case of Barcelona, several articles of the AMB Regulation have been provisionally suspended by the Superior Court of Justice of Catalonia (TSJC), including the one that sets a mandatory interval of one hour between the request for service and its provision.  </w:t>
        <w:br/>
        <w:t xml:space="preserve">3 At the state level, fundamentally, through Law 9/2013 of July 4, which amends Law 16/1987, of July 30, on the regulation of land transport (LOTT) and Royal Decree 1057/2015, of November 20, which amends Royal Decree 1211/1990 of September 28, which approves the regulation of Land Transport Management (ROTT).  </w:t>
        <w:br/>
        <w:t xml:space="preserve">4 In the case of Catalonia, under this legal authorization, Decree-law 4/2019, of January 29, on urgent measures in the field of passenger transport through the rental of vehicles with drivers was enacted. This regulation establishes a precontracting time interval of 15 minutes for all of Catalonia, while allowing local entities with competencies to extend this margin. Subsequently, Decree-law 9/2022, of July 5, on urgent measures in the field of rental of vehicles with drivers was enacted, which partially repeals the 2019 regulation, although it maintains the obligation of precontracting with a minimum advance notice of 15 minutes. In the case of the Valencian Community, Decree-law 4/2019, of March 29, of the Council, on the provision of discretionary public transport services for passengers through the rental of vehicles with drivers was enacted. As with the Catalan regulation, the Decree-law sets a precontracting time interval of 15 minutes for the territory of the Valencian Community, which can be extended by the regulations of local entities with competence for this.  </w:t>
        <w:br/>
        <w:t xml:space="preserve">5 For Barcelona, the Regulation establishing the conditions for the operation of transport authorizations for passengers in rental vehicles with drivers of up to nine seats (VTC), when providing urban services in the metropolitan area of Barcelona (AMB Regulation); in the case of Valencia, the Agreement of December 23, 2021, of the Plenary of the Valencia City Council, which definitively approves the modification of the Mobility Ordinance (Valencian Ordinance).  </w:t>
        <w:br/>
        <w:t xml:space="preserve">National Commission of Markets and Competition 6 of 10  </w:t>
        <w:br/>
        <w:t xml:space="preserve">C/ Alcalá, 47 – 28014 Madrid - C/ Bolivia, 56 – 08018 Barcelona  </w:t>
        <w:br/>
        <w:t>www.cnmc.es</w:t>
      </w:r>
    </w:p>
    <w:p>
      <w:r>
        <w:rPr>
          <w:b/>
        </w:rPr>
        <w:t>[Pages 7–9]</w:t>
      </w:r>
    </w:p>
    <w:p>
      <w:r>
        <w:t xml:space="preserve">S/0011/21  </w:t>
        <w:br/>
        <w:t xml:space="preserve">VTC PRECONTRACTING  </w:t>
        <w:br/>
        <w:t xml:space="preserve">contracting and the effective provision of this service, with the procedure still pending judgment.  </w:t>
        <w:br/>
        <w:t xml:space="preserve">(14) In this context, the complaints submitted aim to address the interpretation that MAXI MOBILITY, as the holder of the Cabify application, PRESTIGE AND LIMOUSINE, as its manager in Catalonia, and MIURCHI, as its manager in the Valencian Community, have been making regarding the minimum waiting time that must elapse, in these Autonomous Communities, between the precontracting and the provision of VTC services.  </w:t>
        <w:br/>
        <w:t xml:space="preserve">(15) ANTAXI argues that, according to the current regulations, at the time of the complaint submission, companies engaged in providing VTC services are required to wait a minimum time, established by regional and local regulations, from the moment the service is precontracted until it can be provided.  </w:t>
        <w:br/>
        <w:t xml:space="preserve">(16) In this regard, it points out that this precontracting time must be respected each time a VTC transport service is requested, in contrast to the interpretation of the respondents, who, according to ANTAXI, would be interpreting the transport service contract "as a mode of passenger transport continued for a period of one year and consequently, according to that conception, it would suffice to observe the minimum precontracting time of 15 minutes for the first service contracted with the client."  </w:t>
        <w:br/>
        <w:t xml:space="preserve">(17) Therefore, according to the reported facts, the entities would have violated the 15-minute precontracting time through the interpretation of the transport service contract via the rental of vehicles with drivers, carried out today in Catalonia by PRESTIGE AND LIMOUSINE and previously by MAXI MOBILITY, as a mode of passenger transport continued for a period of one year. Consequently, according to that conception, it would suffice to observe the minimum precontracting time of 15 minutes for the first service contracted with the client. This violation would have occurred since March 2019.  </w:t>
        <w:br/>
        <w:t xml:space="preserve">(18) Regarding MIURCHI, the same conduct is associated with it, in this case for the territorial scope of the Valencian Community, since it began providing services in June 2019. Additionally, it is also reported for the use of geolocation for customer acquisition, thus violating the provisions of article 5.1 of the aforementioned Valencian regulations.  </w:t>
        <w:br/>
        <w:t xml:space="preserve">6 https://elpais.com/economia/2019/03/06/actualidad/1551875703_684654.html  </w:t>
        <w:br/>
        <w:t xml:space="preserve">7 https://www.economiadigital.es/empresas/cabify-replicara-su-treta-legal-en-valencia-para-seguir-operando_628307_102.html  </w:t>
        <w:br/>
        <w:t xml:space="preserve">National Commission of Markets and Competition 7 of 10  </w:t>
        <w:br/>
        <w:t xml:space="preserve">C/ Alcalá, 47 – 28014 Madrid - C/ Bolivia, 56 – 08018 Barcelona  </w:t>
        <w:br/>
        <w:t>www.cnmc.es</w:t>
      </w:r>
    </w:p>
    <w:p>
      <w:r>
        <w:t xml:space="preserve">S/0011/21  </w:t>
        <w:br/>
        <w:t xml:space="preserve">VTC PRECONTRACTING  </w:t>
        <w:br/>
        <w:t xml:space="preserve">5. LEGAL GROUNDS  </w:t>
        <w:br/>
        <w:t xml:space="preserve">5.1. Competence to Resolve  </w:t>
        <w:br/>
        <w:t xml:space="preserve">(19) According to article 5.1.c) of Law 3/2013, of June 4, establishing the National Commission of Markets and Competition, this Agency is competent to "apply the provisions of Law 15/2007, of July 3, regarding behaviors that prevent, restrict, and distort competition, without prejudice to the competencies corresponding to the regional competition defense bodies in their respective scope and those of the competent jurisdiction."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  </w:t>
        <w:br/>
        <w:t xml:space="preserve">(20) Consequently, the competence to resolve this procedure corresponds to the Competition Chamber of the CNMC Council.  </w:t>
        <w:br/>
        <w:t xml:space="preserve">5.2. Proposal of the instructing body  </w:t>
        <w:br/>
        <w:t xml:space="preserve">(21) The Competition Directorate proposes not to initiate the sanctioning procedure, as well as to archive the present proceedings, considering that there are no indications of infringement of the LDC.  </w:t>
        <w:br/>
        <w:t xml:space="preserve">5.3. Assessment of the Competition Chamber  </w:t>
        <w:br/>
        <w:t xml:space="preserve">(22) This Chamber must assess, based on the reserved information instructed by the Competition Directorate, whether there are sufficient indications of infringement of article 3 of the LDC, which establishes that "The [CNMC] or the competent bodies of the Autonomous Communities will know, in the terms established by this Law for prohibited behaviors, of acts of unfair competition that, by distorting free competition, affect the public interest."  </w:t>
        <w:br/>
        <w:t xml:space="preserve">(23) The accreditation of the second element of the type of article 3 of the LDC makes it necessary to determine whether the analyzed behaviors have "a potential to distort competition that implies an impact on the protected public interest."8  </w:t>
        <w:br/>
        <w:t xml:space="preserve">(24) In this same sense, the Supreme Court has indicated that article 3 of the LDC will only be applicable "when the very nature of the conduct or the concurrent circumstances in its execution -consider, for example, the dominant position or relative significance of the company carrying it out, the market situation at the time of the facts, the potential of the judged conduct to hinder the access or permanence of competitors in the market, or other similar circumstances or factors- allow affirming the existence of a distortion of competition affecting the public interest."9  </w:t>
        <w:br/>
        <w:t xml:space="preserve">(25) In this regard, concerning the reported facts occurring in Catalonia, from the analysis of the evolution of prices, revenues, and market shares in the period 2018-2019 contained in the proposal for archiving, there are no conclusive indications that PRESTIGE AND LIMOUSINE significantly benefited from a possible non-compliance with the precontracting regulations. The increase in its revenue/km ratio in 2019 compared to 2018 can be explained by factors such as its flexible pricing system compared to the regulated taxi, a general increase in demand, and a gradual convergence of prices among operators. Furthermore, market share data do not show an appreciable distortion that would allow affirming a serious impact on competition.  </w:t>
        <w:br/>
        <w:t xml:space="preserve">(26) Regarding the reported facts occurring in the Valencian Community, the analysis of prices, revenues, and market shares contained in the proposal for archiving does not allow concluding that MIURCHI has significantly benefited from a potential non-compliance with the precontracting regulations. Its activity began after the entry into force of said regulation, which prevents a comparison between prior and subsequent scenarios. Although its prices per kilometer were higher than those of the taxi, they remained below those of UBER, and its market shares did not reach those obtained by this operator before its withdrawal. Additionally, taxi revenues increased significantly in 2019, suggesting that the alleged non-compliance did not negatively affect that sector.  </w:t>
        <w:br/>
        <w:t xml:space="preserve">(27) In conclusion, in the analyzed cases, and in light of the information contained in the file, based on the reserved information instructed by the Competition Directorate and taking into account factors such as the structure, conditions, and evolution of the affected market, there are no indications that the reported behaviors have had a significant impact on the overall functioning of the market with the capacity to alter free competition to such an extent that it affects the public interest.  </w:t>
        <w:br/>
        <w:t xml:space="preserve">9 STS No. 1436/2018 of October 1 (Roj STS 3334\2018) which confirms the Resolution of the CNC of September 17, 2013 in file S/0410/12 ASCENSORES 2  </w:t>
        <w:br/>
        <w:t xml:space="preserve">National Commission of Markets and Competition 9 of 10  </w:t>
        <w:br/>
        <w:t xml:space="preserve">C/ Alcalá, 47 – 28014 Madrid - C/ Bolivia, 56 – 08018 Barcelona  </w:t>
        <w:br/>
        <w:t>www.cnmc.es</w:t>
      </w:r>
    </w:p>
    <w:p>
      <w:r>
        <w:rPr>
          <w:b/>
        </w:rPr>
        <w:t>[Pages 10–10]</w:t>
      </w:r>
    </w:p>
    <w:p>
      <w:r>
        <w:t xml:space="preserve">S/0011/21  </w:t>
        <w:br/>
        <w:t xml:space="preserve">VTC PRECONTRACTING  </w:t>
        <w:br/>
        <w:t xml:space="preserve">(28) For all the above reasons, the controversial behaviors would not fall within the scope of application of Article 3 of the LDC.  </w:t>
        <w:br/>
        <w:t xml:space="preserve">(29) Based on all the above, this Chamber  </w:t>
        <w:br/>
        <w:t xml:space="preserve">6. AGREES  </w:t>
        <w:br/>
        <w:t xml:space="preserve">Sole. Not to initiate a sanctioning procedure, as well as to archive the proceedings followed in file S/0011/21 VTC PRECONTRACTING, as no indications of infringement of Law 15/2007, of July 3, on the Defense of Competition, are observed.  </w:t>
        <w:br/>
        <w:t xml:space="preserve">This agreement shall be communicated to the Competition Directorate of the National Commission of Markets and Competition and notified to the complainant and respondents, informing them that there is no appeal against it in the administrative route, and that they may file a contentious-administrative appeal before the National Court, within two months from the day following its notification.  </w:t>
        <w:br/>
        <w:t xml:space="preserve">National Commission of Markets and Competition 10 of 10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