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https://www.cnmc.es/expedientes/s001123</w:t>
      </w:r>
    </w:p>
    <w:p>
      <w:r>
        <w:t>Pages translated : 109</w:t>
      </w:r>
    </w:p>
    <w:p/>
    <w:p>
      <w:r>
        <w:rPr>
          <w:b/>
        </w:rPr>
        <w:t>[Pages 1–3]</w:t>
      </w:r>
    </w:p>
    <w:p>
      <w:r>
        <w:t xml:space="preserve">S/0011/23  </w:t>
        <w:br/>
        <w:t>EÓLICA DE ALFOZ</w:t>
      </w:r>
    </w:p>
    <w:p>
      <w:r>
        <w:t xml:space="preserve">RESOLUTION  </w:t>
        <w:br/>
        <w:t xml:space="preserve">EÓLICA DE ALFOZ  </w:t>
        <w:br/>
        <w:t>S/0011/23</w:t>
      </w:r>
    </w:p>
    <w:p>
      <w:r>
        <w:t xml:space="preserve">COUNCIL. COMPETITION CHAMBER  </w:t>
        <w:br/>
        <w:t xml:space="preserve">President  </w:t>
        <w:br/>
        <w:t xml:space="preserve">Ms. Cani Fernández Vicién  </w:t>
        <w:br/>
        <w:t xml:space="preserve">Counselors  </w:t>
        <w:br/>
        <w:t xml:space="preserve">Ms. Pilar Sánchez Núñez  </w:t>
        <w:br/>
        <w:t xml:space="preserve">Mr. Rafael Iturriaga Nieva  </w:t>
        <w:br/>
        <w:t xml:space="preserve">Mr. Pere Soler Campins  </w:t>
        <w:br/>
        <w:t xml:space="preserve">Ms. María Vidales Picazo  </w:t>
        <w:br/>
        <w:t xml:space="preserve">Secretary of the Council  </w:t>
        <w:br/>
        <w:t>Mr. Miguel Bordiu García-Ovies</w:t>
      </w:r>
    </w:p>
    <w:p>
      <w:r>
        <w:t xml:space="preserve">In Madrid, on July 30, 2025.  </w:t>
        <w:br/>
        <w:t>The Competition Chamber of the National Commission of Markets and Competition (CNMC) with the composition expressed, has issued the following resolution in the reference file initiated by the Directorate of Competition (DC) against EÓLICA DEL ALFOZ, S.L. (ALFOZ), for alleged restrictive practices of competition prohibited by Article 2 of Law 15/2007, of July 3, on the Defense of Competition (LDC).</w:t>
      </w:r>
    </w:p>
    <w:p>
      <w:r>
        <w:t xml:space="preserve">National Commission of Markets and Competition 1 of 109  </w:t>
        <w:br/>
        <w:t xml:space="preserve">C/ Alcalá, 47 – 28014 Madrid - C/ Bolivia, 56 – 08018 Barcelona  </w:t>
        <w:br/>
        <w:t>www.cnmc.es</w:t>
      </w:r>
    </w:p>
    <w:p>
      <w:r>
        <w:t xml:space="preserve">S/0011/23  </w:t>
        <w:br/>
        <w:t>EÓLICA DE ALFOZ</w:t>
      </w:r>
    </w:p>
    <w:p>
      <w:r>
        <w:t xml:space="preserve">INDEX  </w:t>
        <w:br/>
        <w:t xml:space="preserve">1. BACKGROUND ....................................................................................... 4  </w:t>
        <w:br/>
        <w:t xml:space="preserve">2. THE PARTIES .............................................................................................. 5  </w:t>
        <w:br/>
        <w:t xml:space="preserve">2.1. GLOBAL SHAULA, S.L. (GLOBAL SHAULA) ................................................ 5  </w:t>
        <w:br/>
        <w:t xml:space="preserve">2.2. EÓLICA DEL ALFOZ, S.L. (ALFOZ) and BETA PARTICIPACIONES IBÉRICA, S.L. (BETA) ...................................................................................... 6  </w:t>
        <w:br/>
        <w:t xml:space="preserve">3. DEFINITION OF THE REFERENCE MARKET ...................................... 7  </w:t>
        <w:br/>
        <w:t xml:space="preserve">3.1. Product Market .................................................................................... 7  </w:t>
        <w:br/>
        <w:t xml:space="preserve">3.1.1. Regulatory Framework ............................................................................................... 7  </w:t>
        <w:br/>
        <w:t xml:space="preserve">3.1.2. Market Definition .................................................................................................... 20  </w:t>
        <w:br/>
        <w:t xml:space="preserve">3.2. Geographic Market ...................................................................................... 25  </w:t>
        <w:br/>
        <w:t xml:space="preserve">4. ESTABLISHED FACTS ........................................................................ 27  </w:t>
        <w:br/>
        <w:t xml:space="preserve">4.1. In the context of the access conflict .......................................................... 27  </w:t>
        <w:br/>
        <w:t xml:space="preserve">4.2. Current status at the node .............................................................................. 38  </w:t>
        <w:br/>
        <w:t xml:space="preserve">4.3. Chronology of the main established facts .................................................. 40  </w:t>
        <w:br/>
        <w:t xml:space="preserve">5. LEGAL BASIS .......................................................................................... 42  </w:t>
        <w:br/>
        <w:t xml:space="preserve">5.1. Applicable Regulations ...................................................................................... 42  </w:t>
        <w:br/>
        <w:t xml:space="preserve">5.2. Proposal of the Investigating Body ................................................................. 42  </w:t>
        <w:br/>
        <w:t xml:space="preserve">5.3. Assessment of the Competition Chamber ....................................................... 42  </w:t>
        <w:br/>
        <w:t xml:space="preserve">5.4. Competence to Resolve .................................................................................. 43  </w:t>
        <w:br/>
        <w:t xml:space="preserve">5.5. Classification of Conducts .............................................................................. 46  </w:t>
        <w:br/>
        <w:t xml:space="preserve">5.5.1. On the Dominant Position of ALFOZ ................................................................. 47  </w:t>
        <w:br/>
        <w:t xml:space="preserve">5.5.2. On the Abusive Conduct of ALFOZ ................................................................. 58  </w:t>
        <w:br/>
        <w:t xml:space="preserve">5.5.3. Single and Continuous Violation ......................................................................... 76  </w:t>
        <w:br/>
        <w:t xml:space="preserve">5.6. Illegality of the Conducts ................................................................................ 79  </w:t>
        <w:br/>
        <w:t xml:space="preserve">5.7. Guilt and Individual Responsibility .............................................................. 80  </w:t>
        <w:br/>
        <w:t xml:space="preserve">5.7.1. Responsibility of the Companies ..................................................................... 80  </w:t>
        <w:br/>
        <w:t xml:space="preserve">6. DETERMINATION OF THE SANCTION ................................................ 90  </w:t>
        <w:br/>
        <w:t xml:space="preserve">6.1. Criteria for Imposing Fines .............................................................................. 90  </w:t>
        <w:br/>
        <w:t xml:space="preserve">National Commission of Markets and Competition 2 of 109  </w:t>
        <w:br/>
        <w:t xml:space="preserve">C/ Alcalá, 47 – 28014 Madrid - C/ Bolivia, 56 – 08018 Barcelona  </w:t>
        <w:br/>
        <w:t>www.cnmc.es</w:t>
      </w:r>
    </w:p>
    <w:p>
      <w:r>
        <w:t xml:space="preserve">S/0011/23  </w:t>
        <w:br/>
        <w:t>EÓLICA DE ALFOZ</w:t>
      </w:r>
    </w:p>
    <w:p>
      <w:r>
        <w:t xml:space="preserve">6.1.1. General Principles ............................................................................................... 90  </w:t>
        <w:br/>
        <w:t xml:space="preserve">6.1.2. Application to the Case ....................................................................................... 91  </w:t>
        <w:br/>
        <w:t xml:space="preserve">6.1.3. Allegations of ALFOZ to the Proposal for Resolution ...................................... 92  </w:t>
        <w:br/>
        <w:t xml:space="preserve">6.2. Fine ....................................................................................................................... 97  </w:t>
        <w:br/>
        <w:t xml:space="preserve">7. APPLICATION OF THE PROHIBITION TO CONTRACT .......................... 98  </w:t>
        <w:br/>
        <w:t xml:space="preserve">7.1. Declaration of the Prohibition to Contract ...................................................... 98  </w:t>
        <w:br/>
        <w:t xml:space="preserve">7.2. Scope and Duration of the Prohibition to Contract .................................... 100  </w:t>
        <w:br/>
        <w:t xml:space="preserve">7.2.1. Principles and Guiding Criteria for Setting the Scope and Duration of the Prohibition to Contract ....................................................................................... 100  </w:t>
        <w:br/>
        <w:t xml:space="preserve">7.2.2. Application to the Specific Case ...................................................................... 103  </w:t>
        <w:br/>
        <w:t xml:space="preserve">7.3. Exemption from the Prohibition to Contract ................................................ 108  </w:t>
        <w:br/>
        <w:t xml:space="preserve">7.4. Conclusions Regarding the Prohibition to Contract ................................. 108  </w:t>
        <w:br/>
        <w:t xml:space="preserve">8. RESOLVES ............................................................................................. 109  </w:t>
        <w:br/>
        <w:t xml:space="preserve">National Commission of Markets and Competition 3 of 109  </w:t>
        <w:br/>
        <w:t xml:space="preserve">C/ Alcalá, 47 – 28014 Madrid - C/ Bolivia, 56 – 08018 Barcelona  </w:t>
        <w:br/>
        <w:t>www.cnmc.es</w:t>
      </w:r>
    </w:p>
    <w:p>
      <w:r>
        <w:rPr>
          <w:b/>
        </w:rPr>
        <w:t>[Pages 4–6]</w:t>
      </w:r>
    </w:p>
    <w:p>
      <w:r>
        <w:t xml:space="preserve">S/0011/23  </w:t>
        <w:br/>
        <w:t>EÓLICA DE ALFOZ</w:t>
      </w:r>
    </w:p>
    <w:p>
      <w:r>
        <w:t xml:space="preserve">1. BACKGROUND  </w:t>
        <w:br/>
        <w:t xml:space="preserve">(1) On December 17, 2019, the company GLOBAL SHAULA, S.L. (hereinafter, GLOBAL SHAULA) raised a conflict of access to the electricity transmission network owned by RED ELÉCTRICA DE ESPAÑA, S.A.U. (REE) before the CNMC, motivated by the denial of access to two wind facilities owned by it (Las Viñas of 130 MW and Torresandino of 90 MW) to the Villimar 220 kV node.  </w:t>
        <w:br/>
        <w:t xml:space="preserve">(2) On April 30, 2020, the Energy Directorate agreed to initiate the corresponding file with reference number CFT/DE/163/19.  </w:t>
        <w:br/>
        <w:t xml:space="preserve">(3) On September 22, 2021, the Regulatory Supervision Chamber (SSR) of the CNMC upheld the access conflict CFT/DE/163/19, annulling REE's denial communication and retroactively restoring the actions of the improperly processed access procedure in order to integrate the claimant's facilities.  </w:t>
        <w:br/>
        <w:t xml:space="preserve">(4) In view of the information contained in said file, the DC agreed to carry out a preliminary investigation with reference number DP/029/21, in order to determine the possible existence of indications of infringement of competition law that would justify the initiation of a sanctioning procedure, in accordance with the provisions of Article 49.2 of the LDC.  </w:t>
        <w:br/>
        <w:t xml:space="preserve">(5) On January 17, 2023, the DC sent information requests to ALFOZ, in its capacity as the Single Node Interlocutor (IUN) of the Villimar 220 kV node (pages 1 to 6) and to GLOBAL SHAULA (pages 7 to 11), as the affected company that submitted the aforementioned access conflict. On January 31, 2023, the response from GLOBAL SHAULA was received (pages 64 to 117) and after granting the requested extension, on February 9, 2023, ALFOZ responded to the aforementioned information request (pages 118 to 148).  </w:t>
        <w:br/>
        <w:t xml:space="preserve">(6) On October 6, 2023, the DC sent an information request to GLOBAL SHAULA (pages 149 to 152), which was answered on October 23, 2023 (pages 160 to 185).  </w:t>
        <w:br/>
        <w:t xml:space="preserve">(7) On October 23, 2023, in accordance with Article 49.1 of the LDC, the DC agreed to initiate sanctioning procedure S/0011/23 against ALFOZ and its parent company BETA PARTICIPACIONES IBÉRICA S.L. (BETA) for an alleged infringement of Article 2 of the LDC (pages 153 to 159).  </w:t>
        <w:br/>
        <w:t xml:space="preserve">(8) On April 17, 2024, the DC adopted the Statement of Facts (PCH) (pages 1392 to 1473) and ALFOZ submitted allegations to the PCH on May 27, 2024 (pages 1517 to 1532).  </w:t>
        <w:br/>
        <w:t xml:space="preserve">(9) On April 24, 2024, an information request was notified to ALFOZ and BETA regarding their turnover for 2023 (pages 1479 to 1483.1), which was answered on May 10, 2024 (pages 1495 to 1510). On May 20, 2024, a new information request was notified to ALFOZ and BETA regarding their turnover (pages 1511 to 1514.1), which was answered on May 31, 2024 (pages 1533 to 1540).  </w:t>
        <w:br/>
        <w:t xml:space="preserve">(10) On July 15, 2024, the DC agreed to close the instruction phase of the file, in accordance with Article 33.1 of the RDC, being notified to the interested parties that same day (pages 1533 to 1534).  </w:t>
        <w:br/>
        <w:t xml:space="preserve">(11) On July 24, 2024, the DC adopted the Proposal for Resolution (pages 1723 to 1826).  </w:t>
        <w:br/>
        <w:t xml:space="preserve">(12) On September 19, 2024, the allegations of ALFOZ to the Proposal for Resolution were received (pages 1834 to 1877).  </w:t>
        <w:br/>
        <w:t xml:space="preserve">(13) On December 18, 2024, the Competition Chamber of the CNMC Council adopted an agreement regarding the scope and duration of the prohibition to contract from the Proposal for Resolution, which was notified to the parties the following day (pages 1878 to 1879).  </w:t>
        <w:br/>
        <w:t xml:space="preserve">(14) On January 15, 2025, the allegations of ALFOZ to the agreement of December 18, 2024, were received (pages 1886 to 1889).  </w:t>
        <w:br/>
        <w:t xml:space="preserve">(15) On January 22, 2025, the Competition Chamber of the CNMC Council agreed to direct an information request to ALFOZ and BETA regarding their turnover for 2024 (pages 1893 to 1895), which was notified to them the following day and was answered on time on February 6, 2025.  </w:t>
        <w:br/>
        <w:t xml:space="preserve">(16) On March 19, 2025, the Competition Chamber of the CNMC Council adopted an agreement requesting a report from the SSR in relation to the present file, in accordance with Article 21.2 b) of Law 3/2013 of June 4, creating the National Commission of Markets and Competition (LCNMC). On March 27, 2025, the SSR of the CNMC Council issued the respective report without observations (page 1939).  </w:t>
        <w:br/>
        <w:t>(17) The Competition Chamber of the CNMC Council deliberated and ruled on the matter in its meeting of July 30, 2025.</w:t>
      </w:r>
    </w:p>
    <w:p>
      <w:r>
        <w:t xml:space="preserve">2. THE PARTIES  </w:t>
        <w:br/>
        <w:t xml:space="preserve">2.1. GLOBAL SHAULA, S.L. (GLOBAL SHAULA)  </w:t>
        <w:br/>
        <w:t xml:space="preserve">(18) GLOBAL SHAULA is a company active in the sector of electricity production from wind and other sources, as well as in the design, promotion, construction, and operation of renewable energy production parks.  </w:t>
        <w:br/>
        <w:t xml:space="preserve">(19) It is the promoting company of the facilities that would have been harmed by the investigated conduct, initially excluded from access to the Villimar 220 kV node (Las Viñas of 130 MW and Torresandino of 90 MW)1.  </w:t>
        <w:br/>
        <w:t>(20) GLOBAL SHAULA was the company that filed the access conflict CFT/DE/163/19, upheld by the SSR of the CNMC, from which the present sanctioning file originates.</w:t>
      </w:r>
    </w:p>
    <w:p>
      <w:r>
        <w:t xml:space="preserve">2.2. EÓLICA DEL ALFOZ, S.L. (ALFOZ) and BETA PARTICIPACIONES IBÉRICA, S.L. (BETA)  </w:t>
        <w:br/>
        <w:t xml:space="preserve">(21) ALFOZ is a company whose corporate purpose is the production, transport, and distribution of wind energy, as well as the organization and operation of activities and businesses and analysis of wind resources, marketing, design, construction, manufacturing, operation, maintenance, and exploitation of wind energy plants and their equipment2.  </w:t>
        <w:br/>
        <w:t xml:space="preserve">(22) Since June 27, 2019, ALFOZ belongs to BETA3, the new name of EDPR PARTICIPACIONES S.L.4.  </w:t>
        <w:br/>
        <w:t xml:space="preserve">(23) On October 30, 2015, ALFOZ was designated as IUN of the Villimar 220 kV node5 in replacement of Generaciones Especiales I, S.L. -now EDP Renovables España, S.L.U. (EDPR)-. According to information provided by ALFOZ, under the contract between ALFOZ and EDPR, the company currently responsible for managing ALFOZ's functions as IUN at the Villimar 220 kV node is EDPR, through its project department, without prejudice to the fact that at other times the functions attributable to the IUN have been developed by other departments.  </w:t>
        <w:br/>
        <w:t xml:space="preserve">1 The wind farms owned by it, Las Viñas of 130 MW and Torresandino of 90 MW. Following the resolution of the CNMC, on October 16, 2021, REE granted access permission to the wind farms PE Torresandino (34.85 MWn) and PE Las Viñas (50.33 MWn) [CONFIDENTIAL] (pages 68, 69, and 1250).  </w:t>
        <w:br/>
        <w:t xml:space="preserve">2 Information available in the Informa database, incorporated into the file (pages 909 to 935).  </w:t>
        <w:br/>
        <w:t xml:space="preserve">3 On September 30, 2015, EDP Renovables España, S.L.U. acquired 100% of the share capital of Eólica del Alfoz, S.L.U. from Global Sfumato, S.L. On May 4, 2016, a partial spin-off occurred (Spin-off company: EDP Renovables España, S.L.U. New company: EDPR Participaciones, S.L.U.). As a result of the partial spin-off, the shareholdings of Eólica Alfoz, S.L.U. were transferred in bulk to EDPR Participaciones, S.L.U. The company emerged as a result of the partial spin-off of the entities EDPR Yield, S.A.U. (hereinafter EDPR Yield) and EDPR Renovables España, S.L.U. (hereinafter EDPR España) approved by the Sole Partner, EDPR Renewables Europe, S.L.U. (hereinafter EDPR Europe), operations that had accounting effects as of January 1, 2016. On June 27, 2019, the company BETA II, S.A.R.L. acquired from EDP Renewables Europe, S.L.U. the 100% of the shares of the company EDPR Participaciones, S.L.U., which was the holder of 100% of the share capital of Eólica del Alfoz, S.L.U.  </w:t>
        <w:br/>
        <w:t xml:space="preserve">4 The name change occurred on November 27, 2019, according to information available on the BORME website: https://www.boe.es/borme/dias/2019/11/27/pdfs/BORME-A-2019-228-33.pdf  </w:t>
        <w:br/>
        <w:t>5 On October 30, 2015, the General Director of Energy and Mines (Junta de Castilla y León - Ministry of Economy and Finance) sent a communication to REE informing of the change of IUN of Villimar 220 kV. In said communication, it was indicated that Generaciones Especiales I, S.L. (now EDPR) ceased to be the IUN, with ALFOZ assuming that function. Information provided by ALFOZ in response to an information request made by the Competition Directorate (pages 144, 126, and 127).</w:t>
      </w:r>
    </w:p>
    <w:p>
      <w:r>
        <w:rPr>
          <w:b/>
        </w:rPr>
        <w:t>[Pages 7–9]</w:t>
      </w:r>
    </w:p>
    <w:p>
      <w:r>
        <w:t xml:space="preserve">S/0011/23  </w:t>
        <w:br/>
        <w:t xml:space="preserve">EÓLICA DE ALFOZ  </w:t>
        <w:br/>
        <w:t xml:space="preserve">of EDPR6. All communications and emails sent by ALFOZ, in its capacity as IUN, are addressed to two employees of EDP RENOVABLES and with the domain @edpr.  </w:t>
        <w:br/>
        <w:t>(24) Likewise, EDPR is the promoter of the installation Parque Eólico Terrae 100 MW whose request for access to the Villimar 220 kV node7 was managed by ALFOZ.</w:t>
      </w:r>
    </w:p>
    <w:p>
      <w:r>
        <w:t xml:space="preserve">3. DEFINITION OF THE REFERENCE MARKET  </w:t>
        <w:br/>
        <w:t xml:space="preserve">3.1. Product Market  </w:t>
        <w:br/>
        <w:t xml:space="preserve">(25) The behaviors subject to the file are related to the market for access and connection to the electricity transmission network at a specific node8, with effects on the related market for electricity generation, which affect, in this case, access to the transmission network at the Villimar 220 kV substation.  </w:t>
        <w:br/>
        <w:t>(26) Consequently, the regulatory framework governing the access and connection procedure to the electricity transmission network, as well as its development, is analyzed below.</w:t>
      </w:r>
    </w:p>
    <w:p>
      <w:r>
        <w:t xml:space="preserve">3.1.1. Regulatory Framework  </w:t>
        <w:br/>
        <w:t xml:space="preserve">3.1.1.1. Introduction. The Electricity Sector  </w:t>
        <w:br/>
        <w:t xml:space="preserve">(27) Since the approval of Law 54/1997, of November 27, on the Electricity Sector (hereinafter LSE), the electricity sector has been characterized by the coexistence of activities carried out under free competition and regulated activities.  </w:t>
        <w:br/>
        <w:t xml:space="preserve">(28) Thus, in accordance with Article 8 of the current LSE, the activities of electricity transport and distribution, carried out under a natural monopoly regime, as well as system operation and market operation, are provided under a regulated economic and operational regime. However, the activities of generation, production, and marketing of electricity, as well as energy recharge services, are developed under free competition.  </w:t>
        <w:br/>
        <w:t xml:space="preserve">(29) The activity of electricity generation consists of the transformation of a primary energy source (thermal, wind, solar, hydraulic, etc.) into electrical energy. A particular case of such activities is the production of electricity from renewable energy sources, an activity that is regulated, among other regulations, by Royal Decree 413/2014, of June 6, which regulates the activity of electricity production from renewable energy sources, cogeneration, and waste (RD 413/2014).  </w:t>
        <w:br/>
        <w:t xml:space="preserve">(30) On the other hand, according to Article 4 of Royal Decree 1955/2000, of December 1, which regulates the activities of transport, distribution, marketing, supply, and authorization procedures for electricity installations (RD 1955/2000), the transport activity is that which aims to transmit electricity through the transport network, in order to supply it to distributors, final consumers, or to meet international exchanges.  </w:t>
        <w:br/>
        <w:t xml:space="preserve">(31) For these purposes, the transport network will consist of lines and parks with a voltage equal to or greater than 220 kV, international interconnection lines, 400/220 kV transformers, and interconnections between the peninsular system and the island and extra-peninsular systems, as well as inter-island connections.  </w:t>
        <w:br/>
        <w:t>(32) According to Article 30 of the LSE, REE is the operator of the electricity system and manager of the transport network, being responsible for ensuring the security and continuity of electricity supply, the development and expansion of the transport network, and ensuring third-party access to said transport network on equal terms.9</w:t>
      </w:r>
    </w:p>
    <w:p>
      <w:r>
        <w:t xml:space="preserve">3.1.1.2. Access and Connection Standards to the Transport Network  </w:t>
        <w:br/>
        <w:t xml:space="preserve">(33) The existence of activities carried out under a natural monopoly regime, such as the transport and distribution of electricity, means that access to these networks is configured as a right that must be guaranteed. Such access is a fundamental element of the liberalization of the electricity sector and for the existence of a competitive market, as confirmed by both Spanish sector regulations and community regulations10.  </w:t>
        <w:br/>
        <w:t xml:space="preserve">(34) This is stipulated in Article 8, paragraph 3, of the LSE: "Access of third parties to the transport and distribution networks is guaranteed under the technical and economic conditions established in this law and under the terms that are established by regulation by the Government."  </w:t>
        <w:br/>
        <w:t xml:space="preserve">(35) Article 33 of the LSE establishes that the right of access is the "right to use the network under legally or regulatory determined conditions" and that the access permit is "that which is granted for the use of the network to which the installation is connected."  </w:t>
        <w:br/>
        <w:t xml:space="preserve">(36) Likewise, Article 33 of the LSE establishes that the granting of an access permit will be based on compliance with the technical criteria of safety, regularity, quality of supply, sustainability, and economic efficiency of the electricity system, established by the Government or the CNMC as appropriate. The application of these criteria will determine the existence or not of access capacity.  </w:t>
        <w:br/>
        <w:t xml:space="preserve">(37) In the evaluation of access capacity, all nodes influencing the one to which the installation is connected must be considered, in addition to the node itself, taking into account existing production and consumption facilities with valid access and connection permits. Similarly, in the aforementioned evaluation, the network to be considered will be the existing or planned transport network with binding character or the existing distribution network or included in the investment plans approved by the AGE under certain conditions.  </w:t>
        <w:br/>
        <w:t xml:space="preserve">(38) Likewise, the LSE, in its Article 33.2 establishes that "[t]he access permit will be granted by the transport network manager when the connection point to the network is in the transport network or by the distribution network manager when the connection point to the network is in the distribution network." Paragraph 4 of the aforementioned Article 33 of the LSE determines that "the connection permit will be granted by the transport or distribution company that owns the network in which the point for which the connection permit is requested is located."  </w:t>
        <w:br/>
        <w:t xml:space="preserve">(39) In paragraph 6 of the same Article 33 LSE, it is emphasized that "[i]n no case may other mechanisms different from those provided for in paragraphs 2 and 4 of this article be established by the responsible parties for granting access and connection permits or for prioritizing the granting of the same."  </w:t>
        <w:br/>
        <w:t xml:space="preserve">(40) The access permit will detail the specific conditions for using the network and may only be denied due to lack of access capacity. This denial must be justified and based on the objective criteria established by regulation regarding capacity limits, as stated in Article 33.7 of the LSE. Likewise, the right of access may be temporarily restricted, and similarly, this restriction must be justified and based on the aforementioned criteria.  </w:t>
        <w:br/>
        <w:t>(41) REE, as the transporter and system operator, is responsible for managing the regulated access and connection procedures to the transport network and subsequent commissioning, in accordance with Article 37 of the LSE. The necessary permits at each phase of the process will be attributed by REE as system manager, in accordance with the technical safety requirements,</w:t>
      </w:r>
    </w:p>
    <w:p>
      <w:r>
        <w:rPr>
          <w:b/>
        </w:rPr>
        <w:t>[Pages 10–12]</w:t>
      </w:r>
    </w:p>
    <w:p>
      <w:r>
        <w:t xml:space="preserve">S/0011/23  </w:t>
        <w:br/>
        <w:t>EÓLICA DE ALFOZ</w:t>
      </w:r>
    </w:p>
    <w:p>
      <w:r>
        <w:t xml:space="preserve">the quality of supply, sustainability, and economic efficiency, as established by the applicable regulations at any given time.  </w:t>
        <w:br/>
        <w:t xml:space="preserve">(42) In the absence of the regulatory development of Article 33 LSE, access and connection to the network and the operating conditions for generation facilities using renewable energy sources, cogeneration, and waste, as well as the development of the necessary network facilities for connection and associated costs, were regulated, at the time the events analyzed in the reference file took place, by the aforementioned RD 1955/2000 and RD 413/2014, as well as Royal Decree 1699/2011, of November 18, which regulates the connection to the network of small power electricity production facilities (RD 1699/2011), which aimed to transparently establish the conditions for access to the network for new generators that were installed in the liberalized system.  </w:t>
        <w:br/>
        <w:t xml:space="preserve">(43) Subsequently, under the norms that form the regulatory framework for access and connection to the electricity transmission and distribution networks, Royal Decree 1183/2020, of December 29, on access and connection to the electricity transmission and distribution networks (Royal Decree 1183/2020), regulated, in Articles 4 to 15, those aspects related to access and connection that fall within the competence of the Government.  </w:t>
        <w:br/>
        <w:t xml:space="preserve">(44) Likewise, Royal Decree 1183/2020 repealed certain articles of RD 1955/2000,11 including Article 53, which regulated the access and connection procedure to the network, and Article 59 bis relating to the economic guarantee for processing the request for access to the transmission network of production facilities.12  </w:t>
        <w:br/>
        <w:t xml:space="preserve">(45) On the other hand, under the terms provided in Article 6.3 of RD 1183/2020, Circular 1/2021 of the CNMC13 established the methodology and conditions for access and connection to the transmission and distribution networks by electricity producers.  </w:t>
        <w:br/>
        <w:t xml:space="preserve">11 Specifically, Articles 53, 54, 57, 59-bis, 62, 66, and 66-bis of Royal Decree 1955/2000.  </w:t>
        <w:br/>
        <w:t xml:space="preserve">12 Royal Decree 1183/2020, of December 29, on access and connection to the electricity transmission and distribution networks:  </w:t>
        <w:br/>
        <w:t xml:space="preserve">"Single Repealing Provision. Regulatory Repeal.  </w:t>
        <w:br/>
        <w:t xml:space="preserve">All provisions of equal or lower rank that oppose the provisions of this royal decree are repealed, and in particular:  </w:t>
        <w:br/>
        <w:t xml:space="preserve">a) Articles 53, 54, 57, 59-bis, 62, 66, and 66-bis of Royal Decree 1955/2000, of December 1, which regulates the activities of transport, distribution, marketing, supply, and authorization procedures for electricity facilities.  </w:t>
        <w:br/>
        <w:t xml:space="preserve">b) Articles 4.2 and 5 of Royal Decree 1699/2011, of November 18, which regulates the connection to the network of small power electricity production facilities."  </w:t>
        <w:br/>
        <w:t xml:space="preserve">13 Circular 1/2021, of January 20, 2021, which establishes the methodology and conditions for access and connection to the transmission and distribution networks of electricity production facilities.  </w:t>
        <w:br/>
        <w:t xml:space="preserve">S/0011/23  </w:t>
        <w:br/>
        <w:t>EÓLICA DE ALFOZ</w:t>
      </w:r>
    </w:p>
    <w:p>
      <w:r>
        <w:t xml:space="preserve">(46) Finally, the technical and detailed aspects are included in the operating procedures P.O. 12.1 and P.O. 12.2 and the corresponding operating procedures in non-peninsular territories.  </w:t>
        <w:br/>
        <w:t xml:space="preserve">3.1.1.3. Access Procedure to the Node  </w:t>
        <w:br/>
        <w:t xml:space="preserve">(47) The access procedure to a node of the electricity transmission network was regulated in Articles 53 and 59 bis of RD 1955/2000 (currently repealed)15, which was developed in section 4.3 of Operating Procedure 12.1 approved by Resolution of February 11, 2005, of the Secretary of State for Energy. Although these articles were repealed by Royal Decree 1183/2020, they were in force until December 2020 and apply to the reference file as they were applicable at the time the analyzed events occurred.  </w:t>
        <w:br/>
        <w:t xml:space="preserve">(48) Starting in 2019, criteria for action were established aimed at improving the processing of coordinated requests, which are included in the "Descriptive Guide to the Access Procedure to the Network. V.6.4"16 and in the "Facilities connected to the transmission network: minimum design and equipment requirements"17 that REE makes available to potential access applicants on its corporate website. This website details the procedure to be followed by any agent wishing to connect to the transmission network or to the distribution network with significant impact on the transmission network.  </w:t>
        <w:br/>
        <w:t xml:space="preserve">(49) The access and connection procedure for promoters of renewable generation facilities is governed basically by the same rules as the access of any other type of generation, with the exception of the particular conditions established in Annex XV of RD 413/201418, which provides that the processing of access and connection to the transmission network is to be carried out jointly and coordinated through the figure of the IUN, for those cases where several generators must share a connection point:  </w:t>
        <w:br/>
        <w:t xml:space="preserve">"4. When several generators share a connection point to the transmission network, the processing of the access and connection procedures, before the system operator and the carrier of the corresponding park, as well as the coordination with the latter after the commissioning of the generation, must be carried out jointly and coordinated by a Unique Node Interlocutor who will act on behalf of the generators, under the terms and with the functions that are established."  </w:t>
        <w:br/>
        <w:t xml:space="preserve">S/0011/23  </w:t>
        <w:br/>
        <w:t>EÓLICA DE ALFOZ</w:t>
      </w:r>
    </w:p>
    <w:p>
      <w:r>
        <w:t xml:space="preserve">(50) Therefore, as will be seen below, in the case of access requests for renewable generation, the procedure is fundamentally the same, with the particularity that the processing for these facilities, instead of being carried out individually by each applicant, must be carried out jointly and coordinated through the figure of the IUN, which will act on behalf of the generators sharing a connection point.  </w:t>
        <w:br/>
        <w:t xml:space="preserve">(51) The access and connection procedure to the transmission network consisted, at the time of the occurrence of the events leading to this file, fundamentally of the following steps:  </w:t>
        <w:br/>
        <w:t xml:space="preserve">1. Before formalizing a request for access to the transmission network before the IUN, the promoter had to deposit an economic guarantee equivalent to €40/kW installed (Article 59 bis of RD 1955/2000).19 The receipt proving the deposit of this guarantee had to be presented by the promoter to the competent authority for granting the installation authorization. This authority was the Ministry for Ecological Transition for facilities connected to a voltage above 400 kV and the corresponding Autonomous Community for facilities connected to a voltage of 220 kV. The corresponding administration communicated to REE the proper establishment of the guarantee (CACG). The presentation of this receipt constituted a requirement for the initiation of the procedure.20  </w:t>
        <w:br/>
        <w:t xml:space="preserve">2. Subsequently, access applicants had to submit their request to the System Operator and Manager of the Transmission Network (REE), through the IUN. This had to proceed, when there was more than one applicant, to make a joint and coordinated access request (Article 53 RD 1955/200021 and P012). This request contained the necessary information for REE to carry out the studies to determine the existence of access capacity.22  </w:t>
        <w:br/>
        <w:t xml:space="preserve">3. Once the request was received, and after the accreditation of the prior requirements, REE analyzed the documentation and communicated, as appropriate, the  </w:t>
        <w:br/>
        <w:t xml:space="preserve">19 Article 59 bis of RD 1955/2000 repealed by RD 1183/2020, of December 29, but applicable as it was in force at the time of the analyzed events in the reference file.  </w:t>
        <w:br/>
        <w:t xml:space="preserve">20 The confirmation of guarantees is necessary to process the access request, but it is not essential to initiate said processing, which can remain suspended until the receipt of the aforementioned confirmation of guarantees.  </w:t>
        <w:br/>
        <w:t xml:space="preserve">21 Article 53 of RD 1955/2000 repealed by RD 1183/2020, of December 29, but applicable as it was in force at the time of the analyzed events in the reference file.  </w:t>
        <w:br/>
        <w:t>22 The format and support will be established by REE and provided to the agents making the access request, usually via telematics (although REE often also requests submission in paper), including the correctly completed form and the corresponding technical documentation.</w:t>
      </w:r>
    </w:p>
    <w:p>
      <w:r>
        <w:rPr>
          <w:b/>
        </w:rPr>
        <w:t>[Pages 13–15]</w:t>
      </w:r>
    </w:p>
    <w:p>
      <w:r>
        <w:t xml:space="preserve">S/0011/23  </w:t>
        <w:br/>
        <w:t>EÓLICA DE ALFOZ</w:t>
      </w:r>
    </w:p>
    <w:p>
      <w:r>
        <w:t xml:space="preserve">potential deficiencies to the agent who was to proceed with their correction within one month (Article 53.4 RD 1955/2000). 23  </w:t>
        <w:br/>
        <w:t xml:space="preserve">As noted by the SSR of the CNMC, failure to meet the deadline or the lack of correction must result in the inadmissibility of the application from the promoter that fails to comply, and not of the entire joint and coordinated access application.24  </w:t>
        <w:br/>
        <w:t xml:space="preserve">4. Once the application has been completed or corrected, REE would inform within a maximum period of two months about the existence of sufficient capacity in the electricity transmission network at the requested point (Article 55 of RD 1955/2000). In the event that access is feasible, the requirements established for granting the administrative authorization must be fulfilled, in accordance with Article 53 of the LSE, in order to obtain the connection permit to the transmission network. Otherwise, REE would inform of the infeasibility of connection, proposing alternative connection solutions to the requesting agent (to the IUN or to the promoter), who would need to submit an update of their application for the selected alternative to be evaluated, when appropriate (Article 53.6 of RD 1955/2000).25  </w:t>
        <w:br/>
        <w:t xml:space="preserve">(52) The only regulatory criterion for the quantitative limitation on the requested access capacity for generation facilities26 is that associated with the short-circuit power of the connection node (or affected node) as established in Annex XV of RD 413/2014.  </w:t>
        <w:br/>
        <w:t xml:space="preserve">(53) According to the regulation of the access procedure and the aforementioned criteria, the IUN has the obligation to submit all applications that appear in the reference perimeter, and it is up to REE, where appropriate, to request the correction of any application it considers incomplete. Once such correction has been requested, only REE can exclude an application for being incorrect or incomplete.  </w:t>
        <w:br/>
        <w:t xml:space="preserve">(54) It is clear that the regulated procedure configures the IUN as a processor of the applications in a specific and determined manner, that is, jointly and coordinated, on behalf of the promoters who have submitted them to REE previously or those that are directed to the designated IUN directly within a specific time period.  </w:t>
        <w:br/>
        <w:t xml:space="preserve">(55) In the specific context of the aforementioned RD 413/2014, if the capacity requested by several promoters exceeds the available power at the node in question, REE may urge them to reach an agreement for the distribution of the available power. If such an agreement is not reached, REE will carry out the distribution of access capacity proportionally to the requested power.  </w:t>
        <w:br/>
        <w:t xml:space="preserve">(56) As already noted, when permission cannot be granted due to lack of capacity, REE will propose an alternative connection at other nodes of the transmission network closer to the requested one that may have total or partial capacity to integrate the requested power, in accordance with the provisions of Article 53.6 of RD 1955/2000 (emphasis added):27  </w:t>
        <w:br/>
        <w:t xml:space="preserve">"When there is not enough capacity to meet the conditions expressed by the user in accordance with the operating and safety conditions of the network, the system operator and manager of the transmission network may deny the access request. This denial must be sufficiently justified and contain alternative access proposals at another connection point or the necessary reinforcements in the transmission network to eliminate the access restriction, if possible."  </w:t>
        <w:br/>
        <w:t xml:space="preserve">(57) Likewise, if there are solutions in the distribution network, REE will inform the applicant of this possibility, but subject to the assessment and authorization by the manager of that network.  </w:t>
        <w:br/>
        <w:t xml:space="preserve">(58) As the SSR of the CNMC Council has pointed out on several occasions28, the joint and coordinated processing of access applications to the network through the figure of the IUN established in Annex XV of RD 413/2014 represents a procedural specialty regarding the general rule of individual submission of applications according to the regulation provided in RD 1955/2000.  </w:t>
        <w:br/>
        <w:t xml:space="preserve">(59) However, there is no express regulation determining which facilities must be part of a specific SCA, with the IUN being responsible for grouping individual applications to form the previous ones. Thus, in each specific case, a balance must be reached between the individual processing provided in the aforementioned RD 1955/2000 and the joint and coordinated processing provided in RD 413/2014. That is, the IUN is obliged to carry out a joint and coordinated treatment of individual applications that can be considered contemporaneous, depending on the circumstances of each case.  </w:t>
        <w:br/>
        <w:t xml:space="preserve">(60) To this end, the SSR of the CNMC has established in numerous Resolutions that such grouping must respond to criteria of reasonableness, avoiding discrimination and paying attention to the principle of temporal precedence according to the order of submission of individual applications29:  </w:t>
        <w:br/>
        <w:t xml:space="preserve">"However, the fact is that it is exclusively the responsibility of this Commission in conflict resolution to analyze whether the joint processing or not of a series of facilities responds to criteria of reasonableness, preventing in any case an effective discrimination of the applicants in their right to have their application processed and responded to according to the order in which they were submitted, regardless of whether REE's actions are in accordance with the law. The notion of joint processing, whose origin is to be more efficient in the connection phase, cannot, under any circumstances, constitute an obstacle to the right of access, a core element of network regulation."  </w:t>
        <w:br/>
        <w:t xml:space="preserve">(61) In the case of access requests to the distribution network, the promoter will direct their access request to the distribution network manager, who, after evaluating access to their network, will request acceptability for access to REE when there is a significant impact on the transmission network and the operation of the system. Among the cases in which there would be a significant impact on the transmission network are the access requests from generation facilities using renewable energy sources, cogeneration, and waste with a power greater than 10 MW and facilities of these characteristics with a power greater than 1 MW that are part of a grouping whose power exceeds 10 MW at the affected node of the transmission network.  </w:t>
        <w:br/>
        <w:t xml:space="preserve">(62) Information regarding the access and connection processes to the transmission network is published on the REE website30.  </w:t>
        <w:br/>
        <w:t xml:space="preserve">3.1.1.4. The Single Node Interlocutor (IUN)  </w:t>
        <w:br/>
        <w:t xml:space="preserve">(63) The figure of the IUN was created with the aim of facilitating and speeding up the processing of access requests to the network, in cases where several promoters with renewable generation projects request access and connection at the same point of the transmission network and therefore have to share the common connection facilities.  </w:t>
        <w:br/>
        <w:t xml:space="preserve">(64) The figure of the IUN was established normatively in Royal Decree 661/200731 and was maintained in Royal Decree 413/2014, although its functions, responsibilities, and obligations were not detailed, so this figure was implemented without its regulation being completed.  </w:t>
        <w:br/>
        <w:t xml:space="preserve">(65) Thus, the limited regulation regarding the figure of the IUN is found in Royal Decree 413/2014, which provides that, for generation facilities,  </w:t>
        <w:br/>
        <w:t xml:space="preserve">29 Resolution of the SSR of September 5, 2019 (CFT/DE/011/19); Resolution of the SSR of July 8, 2021 (CFT/DE/134/20).  </w:t>
        <w:br/>
        <w:t xml:space="preserve">30 Information available at the website: https://www.ree.es/es/clientes/generador/acceso-conexion.  </w:t>
        <w:br/>
        <w:t>31 Royal Decree 661/2007, of May 25, regulating the activity of electricity production under special regime.</w:t>
      </w:r>
    </w:p>
    <w:p>
      <w:r>
        <w:rPr>
          <w:b/>
        </w:rPr>
        <w:t>[Pages 16–18]</w:t>
      </w:r>
    </w:p>
    <w:p>
      <w:r>
        <w:t xml:space="preserve">S/0011/23  </w:t>
        <w:br/>
        <w:t>EÓLICA DE ALFOZ</w:t>
      </w:r>
    </w:p>
    <w:p>
      <w:r>
        <w:t xml:space="preserve">renewable, cogeneration, and waste, the processing of access and connection to the transmission network shall be carried out jointly and coordinated through this figure.  </w:t>
        <w:br/>
        <w:t xml:space="preserve">(66) Consequently, the IUN must be designated by the competent administrations, among the promoters requesting access to the same node, without the method of designation of the IUN having been subject to regulatory development.  </w:t>
        <w:br/>
        <w:t xml:space="preserve">(67) According to the aforementioned Annex XV of Royal Decree 413/2014, the resolution of access and connection procedures shall be carried out in accordance with the provisions of Royal Decree 1955/2000 and Royal Decree 1699/2011, regulations that are complemented by the specific conditions included in the aforementioned Annex XV.  </w:t>
        <w:br/>
        <w:t xml:space="preserve">(68) As will be seen later, the lack of regulatory development of the IUN figure, particularly regarding its powers and designation, has generated a high level of conflict. Consequently, Royal Decree 1183/202032 abolished the IUN figure, although those who were appointed prior to the entry into force of said regulation will continue to perform their functions concerning access and connection procedures that had been initiated before said entry into force33.  </w:t>
        <w:br/>
        <w:t xml:space="preserve">a) The designation of the IUN  </w:t>
        <w:br/>
        <w:t xml:space="preserve">(69) First of all, it should be noted that there is no express regulation governing the method of designation of the IUN. Within the framework of the previous Law 54/97, the designation of the IUN was carried out by the territorial administrations, as an extension of their powers in the authorization field in the energy sector. In this way, the General State Administration designated the IUNs at nodes with a voltage higher than 380 kV, and the Autonomous Communities did the same for nodes with a voltage lower than 380 kV.  </w:t>
        <w:br/>
        <w:t xml:space="preserve">(70) Initially, the usual practice of the territorial administrations was to designate the first access applicant at each node as the IUN. At that time, the role of the IUN was limited to carrying out the administrative processing of the applications, once the capacity allocation had been made by the corresponding territorial administration and, therefore, when there was no longer competition among promoters to obtain a certain margin of available capacity.  </w:t>
        <w:br/>
        <w:t xml:space="preserve">(71) Starting in 2018, within the framework established by the current LSE, some Autonomous Communities continued to designate the IUN, but many declared themselves incompetent to make such a designation, urging REE to assume this designation function34. The designation of the IUN, in these cases, has been carried out through an agreement between the promoters of the generation projects that intend to access a specific node.  </w:t>
        <w:br/>
        <w:t xml:space="preserve">(72) REE also does not have the competence to designate the IUN or control its actions, limiting itself to verifying that the request for network access is processed through the IUN, as required by the regulations. REE made a consultation in 201935 to the CNMC regarding the choice of the IUN in the event that the corresponding Autonomous Community (or the competent authority) does not designate it, and more specifically, whether the first promoter requesting a connection permit should be designated.  </w:t>
        <w:br/>
        <w:t xml:space="preserve">(73) According to the usual practice, and as stated in the "Criteria for action to facilitate coordination in the access procedure to the transmission network"36, published by REE, the process for designating the IUN begins with the existence of a minimum generation contingent that has the communication from the competent administrative body regarding the proper establishment of the guarantee (CACG) to enable a position (PO13.1).  </w:t>
        <w:br/>
        <w:t xml:space="preserve">(74) Once this contingent is identified, the so-called "reference perimeter" is defined, which will consist of those facilities that have at least submitted the proof of the guarantee deposit, as well as a correctly submitted telematic application. Once the perimeter is defined, REE informs the competent Autonomous Community so that it proceeds to designate the IUN. When the Autonomous Community does not designate the IUN, REE will establish a period of ten working days for the competing promoters to agree among themselves on the designation of an IUN.  </w:t>
        <w:br/>
        <w:t xml:space="preserve">34 As stated in the "LEGAL REPORT REGARDING THE FIGURE OF THE SINGLE NODE INTERLOCUTOR (IUN) PREPARED BY THE INSTRUCTION UNIT OF THE ENERGY DIRECTORATE AT THE REQUEST OF THE COMPETITION DIRECTORATE": Communication from the Junta de Andalucía dated 30/10/2018; Communication from the Government of Aragón dated 22/02/2019; Communication from the Government of the Canary Islands dated 27/02/2019. And on the REE website, "In particular, for the Autonomous Communities of Andalusia, Aragón, Asturias, Catalonia, the Canary Islands, Galicia, and Madrid, REE directly proceeds to identify the IUN in accordance with the guidelines received from the respective Autonomous Administrations and the previously indicated conditions" (https://www.ree.es/es/actividades/acceso-conexion-y-puesta-en-servicio/preguntas-frecuentes-acceso-y-conexion).  </w:t>
        <w:br/>
        <w:t xml:space="preserve">35 Consultation CNS/DE/287/19, made by REE, was closed with this justification: "Due to the publication in the BOE of Royal Decree 1183/2020, of December 29, on access and connection to the transmission and distribution networks of electrical energy and Circular 1/2021, of January 20, from the National Commission of Markets and Competition, which establishes the methodology and conditions for access and connection to the transmission and distribution networks of electricity production facilities, it is considered that the response to the consultation that prompted the opening of this file is clearly stated in the aforementioned legislation, and therefore, this file is closed."  </w:t>
        <w:br/>
        <w:t xml:space="preserve">36 These guidelines have been published at https://www.ree.es/es/clientes/generador/acceso-conexion, Criteria for action to facilitate coordination in the access procedure to the transmission network (PDF, ED.1, July 2020).  </w:t>
        <w:br/>
        <w:t xml:space="preserve">(75) Once identified, the IUN will communicate its designation to REE, which will publish it on its website. Furthermore, the IUN will have a period of one month to submit the coordinated access request to REE, which will include the facilities that are part of the aforementioned reference perimeter.  </w:t>
        <w:br/>
        <w:t xml:space="preserve">(76) For plants that request access after the definition of the reference perimeter (and that have submitted their application to REE before the publication of the designated IUN), REE will inform that it is proceeding to identify the IUN among a series of previous competing applicants and that they have preference to integrate a first coordinated access request, which could exhaust the capacity of the node. Until the aforementioned identification and the subsequent processing of the corresponding coordinated request, such subsequent applications will remain pending and will be processed in a subsequent coordinated request.  </w:t>
        <w:br/>
        <w:t xml:space="preserve">(77) As recalled by the SSR Resolution of December 10, 2018, resolving CFT/DE/028/18:37 "That is, the IUN considers that its regulatory function is limited exclusively to being a mere intermediary, ignoring its obligation to process access requests jointly and coordinated."  </w:t>
        <w:br/>
        <w:t xml:space="preserve">(78) And, in any case, the IUN is obliged to respect the general principles of equality, transparency, and non-discrimination among the various promoters in the processing of access to the electricity transmission network, especially when it is an exception to the general rule of individual processing of applications.38  </w:t>
        <w:br/>
        <w:t xml:space="preserve">b) The powers of the IUN in the access and connection process to the transmission network  </w:t>
        <w:br/>
        <w:t xml:space="preserve">(79) According to Annex XV of Royal Decree 413/2014, it is the responsibility of the IUN:  </w:t>
        <w:br/>
        <w:t xml:space="preserve">a) to process access and connection requests jointly and coordinated before the system operator of generation facilities that share a connection point to the transmission network;  </w:t>
        <w:br/>
        <w:t xml:space="preserve">b) in the commissioning phase, coordinating the generators among themselves and with REE; and  </w:t>
        <w:br/>
        <w:t xml:space="preserve">c) in the necessary communication with REE regarding the maintenance of the facilities after the commissioning of the installation.  </w:t>
        <w:br/>
        <w:t xml:space="preserve">(80) It is the responsibility of REE to verify that the requests subject to the application of the aforementioned Annex XV are processed jointly and coordinated through the IUN,  </w:t>
        <w:br/>
        <w:t xml:space="preserve">37 SSR Resolution of the CNMC of December 10, 2018, in the file CFT/DE/028/18 DENEB SOLAR S.L. AND CELENO SOLAR S.L./REE.  </w:t>
        <w:br/>
        <w:t>38 Legal report dated November 4, 2019, sent by the Energy Directorate at the request of the Competition Directorate in file S/0022/20 ENEL GREEN POWER ESPAÑA and incorporated into the reference file (folio 961).</w:t>
      </w:r>
    </w:p>
    <w:p>
      <w:r>
        <w:rPr>
          <w:b/>
        </w:rPr>
        <w:t>[Pages 19–21]</w:t>
      </w:r>
    </w:p>
    <w:p>
      <w:r>
        <w:t xml:space="preserve">S/0011/23  </w:t>
        <w:br/>
        <w:t>EÓLICA DE ALFOZ</w:t>
      </w:r>
    </w:p>
    <w:p>
      <w:r>
        <w:t xml:space="preserve">informing of the necessity of compliance with said joint processing otherwise.  </w:t>
        <w:br/>
        <w:t xml:space="preserve">(81) Beyond what is provided in Royal Decree 413/2014, there is no other regulation that has developed the regulation on the responsibilities, rights, and obligations of the IUN.  </w:t>
        <w:br/>
        <w:t xml:space="preserve">(82) This lack of regulatory development regarding the powers of the IUN has generated different situations and behaviors regarding the way the IUN acts. While in some cases it limits itself to forwarding the requests received to REE, in others it assumes a more active role, deciding which requests are part of a specific coordinated access request and which are excluded or deciding on the need to require a correction regarding the submitted requests. This different way of acting by the IUN, motivated by the lack of regulation, is what has led to a large number of conflicts, such as those that gave rise to the present investigation39.  </w:t>
        <w:br/>
        <w:t xml:space="preserve">(83) The Energy Directorate of the CNMC emphasizes that, despite the lack of regulation and the lack of development of the figure of the IUN, it is inserted into a broader regulatory framework, so that, although, according to the established procedure, the IUN may decide which requests will be included in a specific coordinated access request (hereinafter, SCA), it must respect the general principle of non-discrimination among users in accessing the transmission network, especially when it is an exception to the general rule of individual processing of requests40.  </w:t>
        <w:br/>
        <w:t xml:space="preserve">(84) In any case, as noted by the SSR of the CNMC in the resolutions of different access conflicts to the transmission network (in particular in CFT/DE/028/18), from what is established in Annex XV of Royal Decree 413/2014, two clear regulatory attributions of the IUN can be deduced, namely: i) to process the access requests received jointly and in a coordinated manner, and ii) to act as a representative of the promoters who share the same access point41.  </w:t>
        <w:br/>
        <w:t xml:space="preserve">39 Legal report dated November 4, 2019, sent by the Energy Directorate at the request of the Competition Directorate in file S/0022/20 ENEL GREEN POWER ESPAÑA and incorporated into the reference file (folios 955 to 966).  </w:t>
        <w:br/>
        <w:t xml:space="preserve">40 Legal report dated November 4, 2019, sent by the Energy Directorate at the request of the Competition Directorate in file S/0022/20 ENEL GREEN POWER ESPAÑA and incorporated into the reference file (folios 955 to 966).  </w:t>
        <w:br/>
        <w:t>41 Regarding the limited regulation of the figure of the IUN, and in relation to its attributions, the Resolution of the SSR dated July 22, 2020, in the access conflict CFT/DE/114/19 stated that this regulation includes the obligation of the IUN to act on behalf of the promoters, which entails, at least, and according to the applicability of the general principles of law, the duty of the IUN to act "under the requirements of good faith and without incurring in abuse of rights."</w:t>
      </w:r>
    </w:p>
    <w:p>
      <w:r>
        <w:t xml:space="preserve">S/0011/23  </w:t>
        <w:br/>
        <w:t>EÓLICA DE ALFOZ</w:t>
      </w:r>
    </w:p>
    <w:p>
      <w:r>
        <w:t xml:space="preserve">3.1.2. Definition of Market  </w:t>
        <w:br/>
        <w:t xml:space="preserve">(85) As noted, the investigated behaviors affect the market for access and connection to the electricity transmission network through the Villimar 220 kV Node, located in Burgos, where ALFOZ has the status of IUN, with effects on the related market of electricity generation.  </w:t>
        <w:br/>
        <w:t xml:space="preserve">(86) Generally, the location and capacity of access nodes to the transmission network determine the choice of a specific access point by promoters and the viability of an electricity generation project, so each substation or access node can be considered a market in itself, given that companies compete at each node for the available capacity.  </w:t>
        <w:br/>
        <w:t xml:space="preserve">(87) According to EU practice42, as well as the recent Communication from the European Commission regarding market definition (hereinafter Communication on the market):43  </w:t>
        <w:br/>
        <w:t xml:space="preserve">"The reference product market comprises all those products that customers consider interchangeable or substitutable for the product(s) of the affected company(ies), based on the characteristics of the products, their prices, and their intended use, taking into account the conditions of competition and the structure of supply and demand in the market"44.  </w:t>
        <w:br/>
        <w:t xml:space="preserve">(88) As the CNMC Council already indicated in its resolutions of June 10, 2022, and December 22, 2023,45 the area of action of the IUN is limited exclusively to the specific node of the network for which it has been designated and regarding the processing of the corresponding access and connection permits at that node.  </w:t>
        <w:br/>
        <w:t xml:space="preserve">(89) Since the LSE establishes that the connection to the electricity transmission network must be made through a node of the same and Royal Decree 413/2014 establishes that, in the case of electricity generation facilities from renewable energy sources, the processing of that connection will be carried out by REE, necessarily through the IUN, the affected market to consider cannot be anything other than the substation or specific node, in which the IUN has been designated to process access requests for renewable generation.  </w:t>
        <w:br/>
        <w:t xml:space="preserve">(90) The status of necessary processor and sole representative of all access applicants to a node before REE determines that the IUN could decisively influence competition for the available capacity at a given node, depending on how it processes the access requests received, especially regarding its decision to process them individually or in a coordinated manner.  </w:t>
        <w:br/>
        <w:t xml:space="preserve">(91) The access permit to a specific node is a determining and essential condition for the development of a project, just like the capacity obtained, as it will influence the economies of scale of potential competitors and therefore the overall efficiency of the project. Furthermore, each node has particular characteristics and a different number of participants, which would distinguish it from other nodes.46  </w:t>
        <w:br/>
        <w:t xml:space="preserve">(92) Likewise, the relevant market would be the market for access and connection to the transmission network in which the IUN acts as an intermediary and the competition corresponds to the network manager47.  </w:t>
        <w:br/>
        <w:t xml:space="preserve">(93) According to the Communication on the market48, companies are subject to different sources of competitive pressure, which would constitute elements to highlight in the definition of the reference market in the case at hand: demand substitution49 and/or technical limitation of supply:  </w:t>
        <w:br/>
        <w:t xml:space="preserve">"The assessment of supply and demand substitution helps to identify the products in the reference market and, therefore, the suppliers operating in that market. Identifying customers who are likely to face similar repercussions from the conduct (...) can be an important element for defining the reference market in order to provide a useful framework for assessing competition. For this purpose, the Commission focuses on the extent to which customers face similar or different competitive conditions. This assessment is usually relevant for defining the reference product and geographic markets when suppliers  </w:t>
        <w:br/>
        <w:t xml:space="preserve">46 The independent nature attributed to each node is also evident in the fact that nodes whose capacity is exhausted coexist with others that still have available capacity. All of the above, regardless of whether there are normative and homogeneous technical conditions associated with the processes of access to the network.  </w:t>
        <w:br/>
        <w:t xml:space="preserve">47 Resolution of the CNMC of June 10, 2022 (file S/0022/20 ENEL GREEN POWER ESPAÑA).  </w:t>
        <w:br/>
        <w:t xml:space="preserve">48 Communication from the Commission regarding the definition of reference market for the purposes of Union competition law C/2024/1645, of February 22, 2024, p.23 and 24.  </w:t>
        <w:br/>
        <w:t>49 "Demand substitution constitutes the most effective and immediate means of restricting the behavior of suppliers of a particular product. The influence of a company on the prevailing selling conditions, such as prices, the level of innovation, or the quality offered, depends on the extent to which its customers can easily substitute its products for other available products that they consider substitutes. Therefore, demand substitution is the main consideration when defining the reference product market."</w:t>
      </w:r>
    </w:p>
    <w:p>
      <w:r>
        <w:rPr>
          <w:b/>
        </w:rPr>
        <w:t>[Pages 22–24]</w:t>
      </w:r>
    </w:p>
    <w:p>
      <w:r>
        <w:t xml:space="preserve">S/0011/23  </w:t>
        <w:br/>
        <w:t xml:space="preserve">EÓLICA DE ALFOZ  </w:t>
        <w:br/>
        <w:t xml:space="preserve">negotiate with individual customers or when they can discriminate between customers or groups of customers.”  </w:t>
        <w:br/>
        <w:t xml:space="preserve">(94) On the supply side, it is limited by the access capacity at each node and the number of positions for evacuating the generated electricity.  </w:t>
        <w:br/>
        <w:t xml:space="preserve">(95) The lack of supply capacity at a given node cannot be resolved by the construction of new ones due to limitations on the number of evacuation positions that can be enabled in the electricity transmission network, as stated in the Communication on the market: “it will not expand the reference market based on the substitution of supply when such substitution entails the need to significantly adjust the existing tangible and intangible assets outside the usual business development; incur additional investments, risks, or unrecoverable costs; make long-lasting strategic decisions or incur delays.”50  </w:t>
        <w:br/>
        <w:t xml:space="preserve">(96) This, in the case at hand, derives from the basic physical limitation in substations; from the existing regulations regarding the development of the transmission network that adhere to efficiency criteria in network development51 and regulatory guidelines that require the decision on new positions to be made through the planning of the transmission network (Royal Decree 1047/2013)52.  </w:t>
        <w:br/>
        <w:t xml:space="preserve">(97) Regarding access to an alternative connection point, prior to the entry into force of Royal Decree-Law 15/2018, of October 5, on urgent measures for the energy transition and consumer protection, new positions additional to the existing ones could not be considered as planned facilities and, therefore, potential connection alternatives. This circumstance would only apply after the entry into force of the aforementioned regulation and for those cases indicated in its fourth additional provision, remaining until that moment further restricted the possibility for REE to offer alternative connection points.  </w:t>
        <w:br/>
        <w:t xml:space="preserve">(98) From all of this, the limited substitutability on the supply side is inferred, primarily derived from technical and regulatory factors53.  </w:t>
        <w:br/>
        <w:t xml:space="preserve">50 Communication from the Commission regarding the definition of the reference market for the purposes of Union competition law C/2024/1645, of February 22, 2024, p.37  </w:t>
        <w:br/>
        <w:t xml:space="preserve">51 Minimum power threshold for access to the transmission network in Operating Procedure 13.1 Criteria for the development of the transmission network. https://www.ree.es/es/actividades/operacion-del-sistema-electrico/procedimientos-de-operacion.  </w:t>
        <w:br/>
        <w:t xml:space="preserve">52 Royal Decree 1047/2013, of December 27, which establishes the methodology for calculating the remuneration for the activity of electricity transmission.  </w:t>
        <w:br/>
        <w:t xml:space="preserve">53 Communication from the Commission regarding the definition of the reference market for the purposes of Union competition law C/2024/1645, of February 22, 2024, p.50: “Therefore, the Commission evaluates the underlying reasons why customers would substitute one product for another by attempting to determine the most relevant parameters for customer choice. In addition to the product price, various parameters can determine customer choice, (…) Differences between distribution channels, both online and offline, or the regulatory framework may also be relevant. Furthermore, customer choice may depend on behavioral biases, such as the tendency to choose the default option offered. Determining which parameters are most relevant for customer choice allows the Commission to compare products concerning those parameters, which provides information to assess the degree of substitutability between them.”  </w:t>
        <w:br/>
        <w:t xml:space="preserve">54 Communication from the Commission regarding the definition of the reference market for the purposes of Union competition law C/2024/1645, of February 22, 2024, p.61.  </w:t>
        <w:br/>
        <w:t xml:space="preserve">55 Communication from the Commission regarding the definition of the reference market for the purposes of Union competition law C/2024/1645, of February 22, 2024, p.73.  </w:t>
        <w:br/>
        <w:t xml:space="preserve">56 Resolution of the CNMC of June 10, 2022 (file S/0022/20 ENEL GREEN POWER ESPAÑA), section 61: “A greater distance to the connection point increases costs for technical and administrative reasons as a longer connection line is required, which also occupies more land and complicates the administrative processing, both due to the greater land occupation and the greater environmental impact. Regarding technical difficulties, the resistance of the conducting cables causes losses proportional to the length of the cable. For this reason, the voltage generated at the producing plant suffers a “drop” in its transport to the node, which results in a reduction in the amount of electricity that can be introduced into the electrical system. This loss will be greater the longer the distance between the plant and the node.”  </w:t>
        <w:br/>
        <w:t xml:space="preserve">S/0011/23  </w:t>
        <w:br/>
        <w:t xml:space="preserve">EÓLICA DE ALFOZ  </w:t>
        <w:br/>
        <w:t xml:space="preserve">(102) In this regard, GLOBAL SHAULA indicated in its response letter of January 31, 2023, to the information request from the DC, the non-existence of alternative nodes to the Villimar 220 kV node for access and connection to the transmission network for the viability and economic profitability of its project, providing the reasons for its choice57:  </w:t>
        <w:br/>
        <w:t xml:space="preserve">[CONFIDENTIAL].  </w:t>
        <w:br/>
        <w:t xml:space="preserve">(103) Given that the maximum energy production of a plant is limited by its design, reducing the amount of energy that can be fed into the system by increasing the distance to the connection point may mean that the project ceases to be economically viable58.  </w:t>
        <w:br/>
        <w:t xml:space="preserve">(104) Although the basic technical conditions are homogeneous across all nodes59, there is no doubt that the requests from promoters are conditioned by the access capacity limitations at each node60. Likewise, only the promoters wishing to access the same node compete with each other for access to a limited resource (the access capacity)61.  </w:t>
        <w:br/>
        <w:t xml:space="preserve">(105) It is important to note that the criterion of temporal precedence guarantees objective and transparent access conditions through which the principle of freedom of access to networks by third parties is realized in a non-discriminatory manner. However, it also clearly conditions competition among promoting companies62. In certain periods when there is available capacity at a node, those with greater diligence in processing their access requests will have greater options to acquire part of the available access capacity.  </w:t>
        <w:br/>
        <w:t xml:space="preserve">(106) As the IUN is responsible for processing these access requests, it is reasonable to define a market for access to the network through a specific node and analyze the behavior of the IUN at each node from the perspective of competition law.  </w:t>
        <w:br/>
        <w:t xml:space="preserve">(107) This Council has previously confirmed63, concluding that each node constitutes a market in itself, also being a very  </w:t>
        <w:br/>
        <w:t xml:space="preserve">57 Information provided by GLOBAL SHAULA in response to the information request made by the Competition Directorate (pages 70 and 71).  </w:t>
        <w:br/>
        <w:t xml:space="preserve">58 Resolution of the CNMC of June 10, 2022 (file S/0022/20 ENEL GREEN POWER ESPAÑA), section 61.  </w:t>
        <w:br/>
        <w:t xml:space="preserve">59 There are, however, obvious differences associated with the voltage level or the technology of each substation that may affect the connection cost.  </w:t>
        <w:br/>
        <w:t xml:space="preserve">60 Which conditions the deployment of generation facilities and, consequently, a different situation regarding potential economies of scale.  </w:t>
        <w:br/>
        <w:t xml:space="preserve">61 Resolution of the CNMC of June 10, 2022 (file S/0022/20 ENEL GREEN POWER ESPAÑA), section 63.  </w:t>
        <w:br/>
        <w:t xml:space="preserve">62 Action criteria to facilitate coordination in the access procedure to the transmission network (PDF, ED.1, July 2020). Published at https://www.ree.es/es/clientes/generador/acceso-conexion.  </w:t>
        <w:br/>
        <w:t>63 Resolution of the CNMC of June 10, 2022 (file S/0022/20 ENEL GREEN POWER ESPAÑA).</w:t>
      </w:r>
    </w:p>
    <w:p>
      <w:r>
        <w:rPr>
          <w:b/>
        </w:rPr>
        <w:t>[Pages 25–27]</w:t>
      </w:r>
    </w:p>
    <w:p>
      <w:r>
        <w:t xml:space="preserve">S/0011/23  </w:t>
        <w:br/>
        <w:t>EÓLICA DE ALFOZ</w:t>
      </w:r>
    </w:p>
    <w:p>
      <w:r>
        <w:t xml:space="preserve">located because the production and subsequent injection of electricity from renewable sources into the transmission network occurs in the vicinity of each access node.  </w:t>
        <w:br/>
        <w:t>(108) It is concluded, therefore, that there are sufficient elements to define a market for access and connection to the transmission network at the Villimar 220 kV node, with effects on the related market for electricity generation, given that it is its unique characteristics that determine the number and size of applicants competing to access it.</w:t>
      </w:r>
    </w:p>
    <w:p>
      <w:r>
        <w:t xml:space="preserve">3.2. Geographic Market  </w:t>
        <w:br/>
        <w:t xml:space="preserve">(109) The Communication on the market, in line with the jurisprudence of the Court of Justice of the European Union (CJEU),64 defines the relevant geographic market as65:  </w:t>
        <w:br/>
        <w:t xml:space="preserve">“[t]he geographical area in which the affected company(ies) offer or demand the reference products, in which the competitive conditions are sufficiently homogeneous to assess the effects of the behavior or concentration being investigated, and which can be distinguished from other geographical areas, in particular, because the competitive conditions are significantly different in those areas.”  </w:t>
        <w:br/>
        <w:t xml:space="preserve">(110) Section 39 of the aforementioned Communication on the market establishes that, to define the perimeter of the relevant market, the presence of the same or different suppliers in the various geographical areas must be taken into account; the similarities or differences in their prices and market shares; the similarities or differences in customer preferences and purchasing behavior; the obstacles and costs associated with supplying customers in a different area; the distance-related factors affecting costs, available quantities, or supply reliability; and the trade flows and shipping trends.  </w:t>
        <w:br/>
        <w:t>(111) National precedents66 have concluded that there is a single wholesale market for the production and supply of electricity, which is separate from the markets for transmission, distribution, and supply of electricity, without any distinction between the production technologies used to generate electricity, nor whether they are based on renewable sources or not.</w:t>
      </w:r>
    </w:p>
    <w:p>
      <w:r>
        <w:t xml:space="preserve">64 Judgments of the Court of First Instance of September 30, 2003, Cableuropa and others/Commission, T-346/02 and T-347/02, EU: T:2003:256, paragraph 115, and of May 7, 2009, NVV and others/Commission, T 151/05, EU:T:2009:144, paragraph 52; and Judgment of the Court of Justice of February 14, 1978, 27/76, United Brands Company v Commission, paragraph 11, EU:C:1978:22. See also Article 9, paragraph 7, of the Merger Regulation and point 25, letter c), of Annex I of the Implementing Regulation of the Merger Regulation.  </w:t>
        <w:br/>
        <w:t xml:space="preserve">65 Communication from the Commission regarding the definition of the relevant market for the purposes of Union competition law C/2024/1645, of February 22, 2024, p. 12.  </w:t>
        <w:br/>
        <w:t>66 C-0372-11 ISOLUX/SOLAR GLOBAL, C-0098-08 GAS NATURAL/FENOSA, C-0930-18 CONTOURGLOBAL / ACCIONA TERMOSOLAR and Resolution of the CNMC of June 10, 2022 (file S/0022/20 ENEL GREEN POWER ESPAÑA).</w:t>
      </w:r>
    </w:p>
    <w:p>
      <w:r>
        <w:t xml:space="preserve">S/0011/23  </w:t>
        <w:br/>
        <w:t>EÓLICA DE ALFOZ</w:t>
      </w:r>
    </w:p>
    <w:p>
      <w:r>
        <w:t xml:space="preserve">(112) From the analysis of the market from the perspective of supply and demand, it follows that, although the access requirements are homogeneous throughout the national territory, competition among the various promoters occurs in accessing each specific node.  </w:t>
        <w:br/>
        <w:t xml:space="preserve">(113) The area of action of the IUN is limited to the specific node of the electricity transmission network for which it has been designated and only regarding the processing of access and connection requests at that specific node, with an interest in sharing a specific position of a node in the network.  </w:t>
        <w:br/>
        <w:t xml:space="preserve">(114) In addition to the available access capacity, the main difference between the different nodes of the network is their geographical location, which is decisive when requesting access for a specific installation. Thus, considering each node of the electricity transmission network as a market in itself, its geographical scope will be that of the location of each node separately.  </w:t>
        <w:br/>
        <w:t xml:space="preserve">(115) For all the above reasons, and as this Chamber already established in the Resolution of June 10, 2022, in file S/0022/20 ENEL GREEN POWER, as well as in the recent Resolution of December 22, 2023, in file S/0003/23 LUMINORA,67 the geographical scope considered is delimited by the location of the facilities that intend to access a specific node of the electricity transmission network and by the area covered by the administrative authorizations, which generally refer to specific municipal terms.  </w:t>
        <w:br/>
        <w:t>(116) The conduct carried out by the IUN in the relevant market for access to the transmission network at a specific node, in this case Villimar 220 kV, is likely to limit the right of access of generating companies to the transmission network and, therefore, to affect the related market for electricity generation, whose dimension is national68. Furthermore, these are likely to have supra-autonomous effects considering, among other issues, their impact on other electricity markets, the strategic nature of this market, and the relevance, for the proper functioning of the internal electricity market, of uniformly guaranteeing the right of access to the national transmission network that allows for a market of multiple agents in a single network system69.</w:t>
      </w:r>
    </w:p>
    <w:p>
      <w:r>
        <w:t xml:space="preserve">67 Resolutions of the Competition Chamber of the CNMC of June 10, 2022 (file S/0022/20 ENEL GREEN POWER) and of December 22, 2023, (file S/0003/23 LUMINORA).  </w:t>
        <w:br/>
        <w:t xml:space="preserve">68 See for example the decisions of the European Commission in cases COMP/M.5979–KGHM/TAURON Wytwarzanie/JV, paragraph 24; COMP/M.5711–RWE/Ensys, paragraph 21, COMP/M.4180–GDF/Suez, paragraph 726 or the reports of the Competition Defense Tribunal in case C-77/02 IBERENOVA/GAMESA, page 42 or C-68/08, NEW EGARA/EISS.  </w:t>
        <w:br/>
        <w:t>69 Resolution of the CNMC of June 10, 2022 (file S/0022/20 ENEL GREEN POWER ESPAÑA).</w:t>
      </w:r>
    </w:p>
    <w:p>
      <w:r>
        <w:t xml:space="preserve">S/0011/23  </w:t>
        <w:br/>
        <w:t>EÓLICA DE ALFOZ</w:t>
      </w:r>
    </w:p>
    <w:p>
      <w:r>
        <w:t xml:space="preserve">4. ESTABLISHED FACTS  </w:t>
        <w:br/>
        <w:t>(117) Based on the information obtained from the access conflict file CFT/DE/163/19 estimated by the Resolution of the SSR of the Council of the CNMC70, as well as the information provided by the parties in response to the requests made by the DC during the investigation, this Chamber considers the following facts to be established, which will be presented chronologically below:</w:t>
      </w:r>
    </w:p>
    <w:p>
      <w:r>
        <w:t xml:space="preserve">4.1. In the context of the access conflict  </w:t>
        <w:br/>
        <w:t xml:space="preserve">(118) On March 21, 2019, ALFOZ, in its capacity as IUN71, sent REE a request for access and connection to the transmission network at the Villimar 220 kV node for the installation Parque Eólico Abrazadilla of 50 MW (Abrazadilla) owned by ENERFIN SOCIEDAD DE ENERGÍA, S.L.U. (ENERFIN, renewable subsidiary of the Elecnor Group), indicating in that request that “it is not delivered in a coordinated and joint manner due to the previous request not having been resolved” (emphasis added).  </w:t>
        <w:br/>
        <w:t xml:space="preserve">(119) On March 27, 2019, REE received a coordinated access request, sent by the IUN (ALFOZ), for the parks Cerevil, owned by GREEN CAPITAL POWER, S.L. and Terrae, owned by EDP RENOVABLES ESPAÑA, S.L., for a total contingent of 253 MW72.  </w:t>
        <w:br/>
        <w:t>(120) On July 10, 2019, REE sent a communication to ALFOZ, in its capacity as IUN, indicating the irregularities of the requests submitted on March 21 and 27, 2019, and requesting the submission of the requests in a joint and coordinated manner by the IUN, as required by the regulations then in force73. In that communication, REE indicated that it would not proceed to review the documentation until the coordinated access request was submitted74 (emphasis added):</w:t>
      </w:r>
    </w:p>
    <w:p>
      <w:r>
        <w:t xml:space="preserve">70 Resolution of September 22, 2021, of the access conflict to the electricity transmission network filed by GLOBAL SHAULA S.L. against the denial given by REE for the connection of two wind installations of 130 and 90 MW to the Villimar 220 kV node.  </w:t>
        <w:br/>
        <w:t xml:space="preserve">71 Although the request document is dated March 19, 2019 (page 608) and on March 20, 2019, REE confirmed its receipt by email (page 836), it is registered on March 21, 2019, in the REE registry. Information provided by ALFOZ in allegations to CFT/DE/163/19.  </w:t>
        <w:br/>
        <w:t xml:space="preserve">72 ALFOZ indicated in allegations to CFT/DE/163/19 that it had received an access request from the promoters of CEREVIL on August 31, 2018, and from TERRAE on December 7, 2018 (page 354), which were registered on December 13, 2018, by ALFOZ, with a user of EDPR in the “Access Management Portal” (page 835), a request that is marked as rejected due to being duplicated (page 834) and is resubmitted on March 27, 2019 (pages 591 and 607).  </w:t>
        <w:br/>
        <w:t xml:space="preserve">73 Information provided by REE in allegations to CFT/DE/163/19 (page 591) and in Resolution of September 22, 2021, of CFT/DE/163/19 (page 780), incorporated into the file.  </w:t>
        <w:br/>
        <w:t>74 Information provided by REE in allegations to CFT/DE/163/19 (page 591) and in the Resolution of the SSR of the Council of the CNMC of CFT/DE/163/19 of September 22, 2021 (page 780), incorporated into the file.</w:t>
      </w:r>
    </w:p>
    <w:p>
      <w:r>
        <w:rPr>
          <w:b/>
        </w:rPr>
        <w:t>[Pages 28–30]</w:t>
      </w:r>
    </w:p>
    <w:p>
      <w:r>
        <w:t xml:space="preserve">S/0011/23  </w:t>
        <w:br/>
        <w:t>EÓLICA DE ALFOZ</w:t>
      </w:r>
    </w:p>
    <w:p>
      <w:r>
        <w:t xml:space="preserve">"In relation to your access request submitted on behalf of EÓLICA DEL ALFOZ, S.L. for the connection of the generation facilities known as "Parque Eólico Abrazadilla" to the VILLIMAR 220 KV transport substation (sic), we hereby indicate the following observations whose correction is required:  </w:t>
        <w:br/>
        <w:t xml:space="preserve">According to the provisions established in Annex XV of Royal Decree 413/2014, the request for access to the transport network for facilities in this area must be processed jointly and coordinated through a Single Node Interlocutor (IUN) - in this case you (EDP), but the submitted request is not coordinated, as indicated in your letter received by the System Development Directorate on March 21, 2019, due to the previous request dated December 7, 2018 not having been resolved. This should not lead to submitting a non-coordinated request as is the case.  </w:t>
        <w:br/>
        <w:t xml:space="preserve">Under these circumstances, we inform you that the review of the technical documentation provided (form, single-line diagram, and plans) is contingent upon the aforementioned coordinated access request, and the new installation must be incorporated into the joint solution to be provided by said IUN - you (EDP), including all the planned facilities that will share this future position.  </w:t>
        <w:br/>
        <w:t xml:space="preserve">Consequently, the request in this matter will be registered with incomplete information, highlighting the importance of completing your request in a coordinated manner by the IUN (formal and telematic request)."  </w:t>
        <w:br/>
        <w:t xml:space="preserve">(121) Consequently, REE registered ALFOZ's access request for the P.E. Abrazadilla, submitted on March 21, 2019, as incomplete, due to non-compliance with the regulations, preventing its processing75.  </w:t>
        <w:br/>
        <w:t xml:space="preserve">(122) Regarding the access request of March 27, 2019, related to Cerevil and Terrae, in the same communication, REE indicated to ALFOZ that, in addition to the need to submit it jointly and coordinated, the request had been made for different points76, contrary to what is provided in the aforementioned Annex XV of Royal Decree 413/201477. It also reminded the IUN (ALFOZ) that it could not submit requests for positions where it was not the IUN, urging "if it is of your interest to exercise such function," ALFOZ to contact the competent Administration for its appointment78 (emphasis added):  </w:t>
        <w:br/>
        <w:t xml:space="preserve">75 Information provided by REE in allegations to CFT/DE/163/19 and registration by the IUN of the request, also provided by ALFOZ, in allegations to said conflict, as well as in REE's email to ALFOZ dated March 20, 2019, Subject: MiAccesoREE: Registration of new Access request in VILLIMAR 220 kV (folios 354, 591, 608, and 836).  </w:t>
        <w:br/>
        <w:t xml:space="preserve">76 That is, for the P.E. Terrae access is requested for the existing position and for the P.E. Cerevil for a new position under the provisions of the fourth additional provision of Royal Decree-Law 15/2018, of October 5, on urgent measures for the energy transition and consumer protection (Royal Decree-Law 15/2018).  </w:t>
        <w:br/>
        <w:t xml:space="preserve">77 "When several generators share a connection point to the transport network, the processing of access and connection procedures, before the system operator and transporter, as well as coordination with the latter after the commissioning of the generation, must be carried out jointly and coordinated by a Single Node Interlocutor that..." and this is recognized by the Resolution of September 22, 2021 of CFT/DE/163/19 (folio 781).  </w:t>
        <w:br/>
        <w:t>78 Information provided by REE in allegations to CFT/DE/163/19 (folio 592).</w:t>
      </w:r>
    </w:p>
    <w:p>
      <w:r>
        <w:t xml:space="preserve">S/0011/23  </w:t>
        <w:br/>
        <w:t>EÓLICA DE ALFOZ</w:t>
      </w:r>
    </w:p>
    <w:p>
      <w:r>
        <w:t xml:space="preserve">"In relation to your access request submitted on behalf of EÓLICA DEL ALFOZ, S.L. (EDP RENOVABLES) for the connection of the generation facilities known as "Parque Eólico CEREVIL, Parque Eólico TERRAE" to the VILLIMAR 220 KV transport substation (sic), we hereby indicate the following observations whose correction is required:  </w:t>
        <w:br/>
        <w:t xml:space="preserve">According to the provisions established in Annex XV of Royal Decree 413/2014, the request for access to the transport network for facilities in this area must be processed jointly and coordinated through a Single Node Interlocutor (IUN) - EDP for Existing Position[79].  </w:t>
        <w:br/>
        <w:t xml:space="preserve">Since there is currently no IUN for a new potential position for the substation in this matter (and according to the single-line diagram provided in this request, the PPEE Cerevil connects to this potential new position), such identification by the Autonomous Administration would be necessary.  </w:t>
        <w:br/>
        <w:t xml:space="preserve">• Could you indicate to us the reason why you propose to connect this PPEE Cerevil to a potential new position instead of to the existing one of which you are the IUN?  </w:t>
        <w:br/>
        <w:t xml:space="preserve">To this end, we request that if it is of your interest to exercise such function, you contact the corresponding competent body, copying us on that communication, so that we are aware of that intention and can inform the Administration about the management situation at the node in question so that it proceeds to identify the corresponding IUN.  </w:t>
        <w:br/>
        <w:t xml:space="preserve">We therefore await such identification and to receive a coordinated access request in the terms outlined in this communication.  </w:t>
        <w:br/>
        <w:t xml:space="preserve">These information requirements (established in P.O.12.1 and in the current regulations) pending completion will allow considering the access request in this matter complete and proceeding with its analysis for subsequent response. Until that moment, your request is considered incomplete."  </w:t>
        <w:br/>
        <w:t xml:space="preserve">(123) Likewise, in said communication of July 10, 2019, REE informed ALFOZ about the available capacity at the Villimar node80:  </w:t>
        <w:br/>
        <w:t xml:space="preserve">"On the other hand, we inform you that the maximum simultaneously producible non-manageable power to be connected at the Villimar 220 kV node, according to the applicable short-circuit power analysis as per Annex XV of RD413/2014, is 314 MWprod.  </w:t>
        <w:br/>
        <w:t xml:space="preserve">Based on the currently installed capacity at this facility and the planned capacity that has been granted access permission (184 MW EOL installed and 12.5 MW EOL in the underlying RdD, as well as 56 MW PV in the underlying RdD), there would be a margin of available capacity of 196 MW EOL, as is the case for the plants in this request."  </w:t>
        <w:br/>
        <w:t xml:space="preserve">79 "Existing Position": reference made by REE to refer to the existing position.  </w:t>
        <w:br/>
        <w:t>80 Information provided by REE in allegations to CFT/DE/163/19 (folio 592).</w:t>
      </w:r>
    </w:p>
    <w:p>
      <w:r>
        <w:t xml:space="preserve">S/0011/23  </w:t>
        <w:br/>
        <w:t>EÓLICA DE ALFOZ</w:t>
      </w:r>
    </w:p>
    <w:p>
      <w:r>
        <w:t xml:space="preserve">(124) On July 10, 2019, ALFOZ as IUN submitted a new SCA, this time with the solar plant Kenia 2 for a contingent of 200 MW, received by REE on July 15, 201981.  </w:t>
        <w:br/>
        <w:t xml:space="preserve">(125) On July 16, 2019, GLOBAL SHAULA requested access to the Villimar 220 kV node, through the IUN ALFOZ, for two facilities owned by it (Las Viñas of 130 MW and Torresandino of 90 MW)82. That same day, it also communicated its request to REE83. Likewise, on July 16, 2019, the parks of GLOBAL SHAULA fulfilled their obligations regarding guarantees, presenting proof of the guarantee and certificate of surety insurance before the General Directorate of Energy Policy and Mines of the Ministry of Industry, Trade and Tourism84.  </w:t>
        <w:br/>
        <w:t xml:space="preserve">(126) On July 31, 2019, ALFOZ requested GLOBAL SHAULA to send the access request submitted to another employee of the same group. According to ALFOZ, the access request "was sent to a person who performs a series of functions in the company EDPR, but in no case is the person responsible for exercising the functions of the IUN, which is the company ALFOZ"85. This request was fulfilled by GLOBAL SHAULA that same day.  </w:t>
        <w:br/>
        <w:t xml:space="preserve">(127) Notwithstanding the above, as GLOBAL SHAULA already pointed out in the context of the access conflict, the information regarding the IUN data published by REE only referred to the name and address of ALFOZ86, without specifying the specific contact person. Therefore, GLOBAL SHAULA claimed to have submitted its request according to that information, from which the identity of the specific person responsible for managing such access requests could not be deduced. In any case, it is a proven fact that GLOBAL SHAULA submitted its access request physically at the address of ALFOZ published by  </w:t>
        <w:br/>
        <w:t xml:space="preserve">81 Access request letter for Kenia 2 to REE, provided by ALFOZ and by REE (folios 837, 593, and 610, respectively).  </w:t>
        <w:br/>
        <w:t xml:space="preserve">82 Information provided by GLOBAL SHAULA in allegations to the conflict CFT/DE/163/19 (folio 521), in an email sent by GLOBAL SHAULA to ALFOZ on July 16, 2019, Subject: Access and connection request for PE Las Viñas and PE Torresandino_IUN Eólicas del Alfoz, S.L.U. (folios 444, 477); in the paper request of GLOBAL SHAULA with EDPR entry stamp on July 18, 2019 (folio 491), as well as in allegations to the cited conflict by REE, in access request, Submission of economic guarantee for Wind Farm Las Viñas of 130 MW and Submission of economic guarantee for Wind Farm Torresandino of 90 MW (folios 611 to 663, 737 to 752, and 753 to 768).  </w:t>
        <w:br/>
        <w:t xml:space="preserve">83 Email sent by GLOBAL SHAULA to REE on July 16 in which it attaches the access request (folios 492 and 493), allegations of GLOBAL SHAULA in the context of the Access Conflict to CFT/DE/163/19 (folio 521).  </w:t>
        <w:br/>
        <w:t xml:space="preserve">84 Proof of economic guarantee for PE Las Viñas and Proof of economic guarantee for PE Torresandino, provided by GLOBAL SHAULA (folios 445 to 460 and 461 to 476, respectively, and folios 629 to 663, 737 to 752, and 753 to 768).  </w:t>
        <w:br/>
        <w:t xml:space="preserve">85 Information provided in the allegations letter of ALFOZ in the context of CFT/DE/163/19 incorporated into the reference file (folio 355).  </w:t>
        <w:br/>
        <w:t>86 Information provided in allegations submitted by GLOBAL SHAULA in the context of CFT/DE/163/19 (folio 444): "According to the information available on the REE website, the IUN is: Eólicas del Alfoz, S.L.U. C/ Serrano Galvache, 56, 28033 Madrid."</w:t>
      </w:r>
    </w:p>
    <w:p>
      <w:r>
        <w:rPr>
          <w:b/>
        </w:rPr>
        <w:t>[Pages 31–33]</w:t>
      </w:r>
    </w:p>
    <w:p>
      <w:r>
        <w:t xml:space="preserve">S/0011/23  </w:t>
        <w:br/>
        <w:t>EÓLICA DE ALFOZ</w:t>
      </w:r>
    </w:p>
    <w:p>
      <w:r>
        <w:t xml:space="preserve">REE87 and the person from EDPR who received said access request on July 16, 2019, was the attorney of ALFOZ, with general representation powers of the same88.  </w:t>
        <w:br/>
        <w:t xml:space="preserve">(128) On August 1, 2019, the person from EDPR/ALFOZ responsible for these matters communicated to GLOBAL SHAULA that they were initiating the process of analyzing the documentation received89.  </w:t>
        <w:br/>
        <w:t xml:space="preserve">(129) On August 2, 2019, REE received the corrections90 of the irregularities required on July 10, 2019, for the requests submitted on March 21 and 27, 2019, considering the SCA for the three wind farms for the pre-existing position to be complete91.  </w:t>
        <w:br/>
        <w:t xml:space="preserve">(130) On September 2, 2019, ALFOZ sent an email to GLOBAL SHAULA asking whether their request was for a new position at the Villimar 220 kV node92. On September 3, 2019, GLOBAL SHAULA contacted ALFOZ by phone to clarify the inquiry93. As noted in the SSR of September 22, 2021, the inquiry was answered the day after it was raised and could have been resolved a month earlier if ALFOZ had raised it on August 1 instead of September 2:94  </w:t>
        <w:br/>
        <w:t xml:space="preserve">"The question, which was raised a month later than the acknowledgment of receipt of the request, was clarified by the applicant the next day through a phone conversation. That is, if it had been formulated on August 1, it would have been resolved on the same day, not a month later."  </w:t>
        <w:br/>
        <w:t xml:space="preserve">87 Email sent on July 31, 2019, by ALFANAR (GLOBAL SHAULA) to EDPR, Subject: RE: Access and connection request for PE Las Viñas and PE Torresandino_ IUN Eólicas del Alfoz, S.L.U., as well as in allegations submitted by GLOBAL SHAULA to CFT/DE/163/19 (folios 499 and 500, 521 and 522):  </w:t>
        <w:br/>
        <w:t xml:space="preserve">88 Information provided in allegations submitted by GLOBAL SHAULA in the framework of CFT/DE/163/19 (folio 522).  </w:t>
        <w:br/>
        <w:t xml:space="preserve">89 Email sent by GLOBAL SHAULA to ALFOZ on August 1, 2019, Subject: RE: Access and connection request for PE Las Viñas and PE Torresandino_ IUN Eólicas del Alfoz, S.L.U. (folio 498).  </w:t>
        <w:br/>
        <w:t xml:space="preserve">90 Exchange of emails between REE and EDPR as manager of the functions entrusted to ALFOZ as IUN (July 10 and August 2) Subject: RE: Request for correction for your access request EÓLICA DEL ALFOZ, S.L. (EDP RENOVAVÉIS) VILLIMAR 220 KV (folios 664 to 710).  </w:t>
        <w:br/>
        <w:t xml:space="preserve">91 Allegations of REE submitted to CFT/DE/163/19 and exchange of emails between REE and EDPR as manager of the functions entrusted to ALFOZ as IUN (July 10 and August 2) Subject: RE: Request for correction for your access request EÓLICA DEL ALFOZ, S.L. (EDP RENOVAVÉIS) _VILLIMAR 220 KV (folios 593 and 664 to 710 respectively).  </w:t>
        <w:br/>
        <w:t xml:space="preserve">92 Allegations of GLOBAL SHAULA to CFT/DE/163/19 and email sent on September 2, 2019, by EDPR as manager of the functions entrusted to ALFOZ as IUN to GLOBAL SHAULA, Subject: RE: Access and connection request for PE Las Viñas and PE Torresandino_ IUN Eólicas del Alfoz, S.L.U. (folios 522 and 498 respectively).  </w:t>
        <w:br/>
        <w:t xml:space="preserve">93 Allegations of GLOBAL SHAULA to CFT/DE/163/19 and email sent on September 12, 2019, by GLOBAL SHAULA to EDPR as manager of the functions entrusted to ALFOZ as IUN Subject: RE: Access and connection request for PE Las Viñas and PE Torresandino_ IUN Eólicas del Alfoz, S.L.U. (folios 523 and 497 respectively).  </w:t>
        <w:br/>
        <w:t>94 SSR of September 22, 2021, in CFT/DE/163/19 GLOBAL SHAULA S.L. / REE (VILLIMAR NODE 220 KV) (folio 550).</w:t>
      </w:r>
    </w:p>
    <w:p>
      <w:r>
        <w:t xml:space="preserve">S/0011/23  </w:t>
        <w:br/>
        <w:t>EÓLICA DE ALFOZ</w:t>
      </w:r>
    </w:p>
    <w:p>
      <w:r>
        <w:t xml:space="preserve">(131) On September 12, 2019, GLOBAL SHAULA sent an email to ALFOZ to inquire about the status of their application95.  </w:t>
        <w:br/>
        <w:t xml:space="preserve">(132) On September 16, 2019, via email, ALFOZ raised interpretative doubts regarding GLOBAL SHAULA's request and additionally informed about the forecast of saturation of the node96. Furthermore, in the aforementioned email of September 16, 2019, ALFOZ requested additional information about the request submitted by GLOBAL SHAULA, specifically "to know if you have an agreement with the owner of these infrastructures, to be able to use them"97.  </w:t>
        <w:br/>
        <w:t xml:space="preserve">(133) According to the SSR of the CNMC in the Resolution of September 22, 2021, regarding the access conflict in question, such doubts could not be considered corrections as they lacked legal basis or technical justification98:  </w:t>
        <w:br/>
        <w:t xml:space="preserve">"These doubts in no way, as GLOBAL SHAULA claims, are corrections of the request. They are idle questions that occur over time without legal support or any technical justification and that the IUN could not raise under any circumstances in its capacity as representative of the interested parties in access" (emphasis added).  </w:t>
        <w:br/>
        <w:t xml:space="preserve">(134) On September 18, 2019, GLOBAL SHAULA responded to the aforementioned email from ALFOZ dated September 16, urging them to send their request to REE without further delay and reproaching them for overstepping their functions as IUN99:  </w:t>
        <w:br/>
        <w:t xml:space="preserve">"As the sole interlocutor of the node, your duties are to forward the access requests to REE, which we have been expecting from you since July 16, 2019, the date on which we formally requested access (we also communicated this to REE). Therefore, we require you to send our access request to REE without further delay.  </w:t>
        <w:br/>
        <w:t xml:space="preserve">On the other hand, we do not expect you to judge the existence of capacity or not in the network; that is REE's responsibility. The same applies to any doubts that REE may have regarding our request."  </w:t>
        <w:br/>
        <w:t xml:space="preserve">(135) On September 20, 2019, ALFOZ again requested additional technical information from GLOBAL SHAULA (specifically, the location plan of the parks, the evacuation line, and the SET) which, although it had already been provided on July 16, 2019, was now requested in "georeferenced cad format." Given GLOBAL SHAULA's disagreement with this new requirement, on the same September 20, 2019, GLOBAL SHAULA again urged ALFOZ to send their request to REE. On the same September 20, 2019, ALFOZ responded that it would proceed to send the request to REE as it had been received100.  </w:t>
        <w:br/>
        <w:t xml:space="preserve">(136) However, it was not until September 24, 2019, that ALFOZ forwarded the access request to REE for the electricity transmission network for the wind farms owned by GLOBAL SHAULA Las Viñas and Torresandino at the Villimar 220 kV Node101. This request did not require any corrections from REE.  </w:t>
        <w:br/>
        <w:t xml:space="preserve">(137) On October 2, 2019, REE communicated, regarding the SCA of August 2, 2019, to the IUN (ALFOZ), that the requested capacity for the Abrazadilla, Cerevil, and Terrae installations exceeded the maximum capacity of the node, urging the necessary adjustment to be made within one month, informing that during that period potential subsequent requests regarding said node for wind generation would be suspended, warning that if this was not done, their requests would be considered withdrawn102.  </w:t>
        <w:br/>
        <w:t xml:space="preserve">(138) On October 3, 2019, GLOBAL SHAULA requested information from REE regarding the status of their request103. On the same day, October 3, 2019, REE informed that the SCA had been received on September 25, 2019104.  </w:t>
        <w:br/>
        <w:t xml:space="preserve">(139) On October 30, 2019, REE received a response to the communication sent to the promoters urged to adjust the capacity of their requests, in which they reiterated their requests as no agreement had been reached among them105:  </w:t>
        <w:br/>
        <w:t xml:space="preserve">"In response to the request for correction regarding the coordinated access request at Villimar 220 kV (DDS.DAR.19_5737), I must inform you that there has been no agreement among the promoters of the installations included in said request."  </w:t>
        <w:br/>
        <w:t xml:space="preserve">100 Exchange of emails on September 20, 2019, between EDPR as manager of the functions entrusted to ALFOZ as IUN and GLOBAL SHAULA, Subject: RE: Access and connection request for PE Las Viñas and PE Torresandino_ IUN Eólicas del Alfoz, S.L.U. (folios 523, 494 and 495).  </w:t>
        <w:br/>
        <w:t xml:space="preserve">101 Access Request to the Electricity Transmission Network for the wind farms Las Viñas and Torresandino at the Villimar 220 kV Node (folios 502, 506, 523, 838 and 711).  </w:t>
        <w:br/>
        <w:t xml:space="preserve">102 Communication from REE to EDPR as manager of the functions entrusted to ALFOZ as IUN "Subject: Response regarding the request for updating coordinated access to the Electricity Transmission Network at the current Villimar 220 kV substation due to the incorporation of three new wind farms, according to the details in Table 1" (folios 712 to 717).  </w:t>
        <w:br/>
        <w:t xml:space="preserve">103 Email from October 3, 2019, sent by GLOBAL SHAULA to REE, Subject ALFANAR_ Access request_ Villimar 220 (folios 718 and 719).  </w:t>
        <w:br/>
        <w:t xml:space="preserve">104 Email from October 3, 2019, sent by REE to GLOBAL SHAULA, Subject RE: ALFANAR_ Access request_ Villimar 220 (folios 720 to 723, 503 and 504).  </w:t>
        <w:br/>
        <w:t>105 Communication of October 30, 2019, from EDPR as manager of the functions entrusted to ALFOZ as IUN to REE regarding capacity adjustment at Villimar_ IUN (folio 724).</w:t>
      </w:r>
    </w:p>
    <w:p>
      <w:r>
        <w:rPr>
          <w:b/>
        </w:rPr>
        <w:t>[Pages 34–36]</w:t>
      </w:r>
    </w:p>
    <w:p>
      <w:r>
        <w:t xml:space="preserve">S/0011/23  </w:t>
        <w:br/>
        <w:t xml:space="preserve">EÓLICA DE ALFOZ  </w:t>
        <w:br/>
        <w:t xml:space="preserve">On the part of EDP Renewables Spain and Enerfin Sociedad de Energía, their intention is to reach an agreement through a proportional reduction of the power requested by each promoter, until the available capacity at the node is reached. However, Green Capital Power proposes to establish the temporal precedence of the requests made at this node, determining their date to be considered as 31/08/2018 when they submitted the request to the IUN. In any case, the promoters reiterate and maintain their access request in the terms expressed.  </w:t>
        <w:br/>
        <w:t xml:space="preserve">(140) On November 15, 2019, REE assigned the total available capacity at the Villimar 220 kV node to the three wind promoters who had submitted their requests - through ALFOZ, in its capacity as IUN - on March 21 and 27, 2019, according to the following capacity distribution: Cerevil 153 MW106, Abrazadilla 13.83 MW107, and Terrae 27.67 MW108. With this decision by REE, the capacity of the node for non-manageable wind generation was exhausted.109  </w:t>
        <w:br/>
        <w:t xml:space="preserve">(141) At the same time, on November 15, 2019, REE communicated to ALFOZ, in its capacity as IUN, that access to the Villimar 220 kV substation for the installations of GLOBAL SHAULA (Las Viñas and Torresandino) was not viable as the capacity of the node had been exhausted, with the capacity assigned to ALFOZ110 and with the principle of “prior in tempore potior in iure” as the requests made on March 21 and 27, 2019, completed on August 2, 2019, had temporal priority.  </w:t>
        <w:br/>
        <w:t xml:space="preserve">(142) On the same November 15, 2019, REE informed the IUN that, having exceeded the margin of available capacity at the node for non-wind generation (11.47 MW), the Kenia 2 request should be adjusted to that margin of admissible power if it was of interest to the promoter111:  </w:t>
        <w:br/>
        <w:t xml:space="preserve">[CONFIDENTIAL]  </w:t>
        <w:br/>
        <w:t xml:space="preserve">106 Ownership of GREEN CAPITAL POWER, S.L.  </w:t>
        <w:br/>
        <w:t xml:space="preserve">107 Ownership of ENERFIN SOCIEDAD DE ENERGÍA, S.L.  </w:t>
        <w:br/>
        <w:t xml:space="preserve">108 Ownership of EDPR (same business group as ALFOZ).  </w:t>
        <w:br/>
        <w:t xml:space="preserve">109 Communication from REE to EDPR as manager of the functions entrusted to ALFOZ as IUN  </w:t>
        <w:br/>
        <w:t xml:space="preserve">Subject: Update on coordinated access response to the Transport Network at the VILLIMAR 220 kV substation motivated by the incorporation of three new wind farms, according to the details in Table 1. (Complements communication reference DDS.DAR.19_5737 dated October 2, 2019, and replaces access and connection response dated May 2, 2019, reference DDS.DAR.19_2344) (folios 715 to 730).  </w:t>
        <w:br/>
        <w:t xml:space="preserve">110 Communication from REE to EDPR as manager of the functions entrusted to ALFOZ as IUN  </w:t>
        <w:br/>
        <w:t xml:space="preserve">Subject: Response regarding the request for an update on coordinated access to the Transport Network at the current Villimar 220 kV substation due to the incorporation of two new wind farms, according to the details in Table 1 (folios 598, 601 to 607).  </w:t>
        <w:br/>
        <w:t xml:space="preserve">111 Communication from REE to EDPR as manager of the functions entrusted to ALFOZ as IUN:  </w:t>
        <w:br/>
        <w:t xml:space="preserve">Subject: Response regarding the request for an update on coordinated access to the Transport Network at the current Villimar 220 kV substation due to the incorporation of a new photovoltaic plant, according to the details in Table 1 (folios 731 to 736).  </w:t>
        <w:br/>
        <w:t xml:space="preserve">Comisión Nacional de los Mercados y la Competencia 34 de 109  </w:t>
        <w:br/>
        <w:t xml:space="preserve">C/ Alcalá, 47 – 28014 Madrid - C/ Bolivia, 56 – 08018 Barcelona  </w:t>
        <w:br/>
        <w:t>www.cnmc.es</w:t>
      </w:r>
    </w:p>
    <w:p>
      <w:r>
        <w:t xml:space="preserve">S/0011/23  </w:t>
        <w:br/>
        <w:t xml:space="preserve">EÓLICA DE ALFOZ  </w:t>
        <w:br/>
        <w:t xml:space="preserve">(143) On November 20, 2019, ALFOZ sent to GLOBAL SHAULA, via email, the communication from REE in response to its request, received by the IUN on November 18, 2019, in which REE indicated that there was no capacity left at the node as it had been exhausted by a prior request, thus denying access to GLOBAL SHAULA's request. Additionally, ALFOZ informed GLOBAL SHAULA that ALFOZ itself had requested clarification from REE regarding the distribution of the proposed power112.  </w:t>
        <w:br/>
        <w:t xml:space="preserve">(144) Following this communication, GLOBAL SHAULA attempted to contact ALFOZ by phone on November 20, 2019, unsuccessfully, and ultimately sent an email on November 29, 2019, requesting from ALFOZ the complete tables of the capacity distribution sent by REE, as part of that information was missing113.  </w:t>
        <w:br/>
        <w:t xml:space="preserve">(145) Not receiving a response from the IUN, on December 17, 2019, GLOBAL SHAULA raised a conflict regarding access to the electricity transmission network owned by REE before the Energy Directorate of the CNMC motivated by the denial of access and connection to its two wind installations (Las Viñas of 130 MW and Torresandino of 90 MW) at the Villimar 220 kV node.114  </w:t>
        <w:br/>
        <w:t xml:space="preserve">(146) On November 18, 2020, REE communicated to the CNMC the withdrawal and cancellation of the access and acceptability permits from the perspective of the transmission network affecting the margin of access capacity to the transmission network at the Villimar 220 kV node (and its underlying distribution network), of the following installations115:  </w:t>
        <w:br/>
        <w:t xml:space="preserve">[CONFIDENTIAL]  </w:t>
        <w:br/>
        <w:t xml:space="preserve">(147) As a consequence of these withdrawals, there was a release of the available access capacity margin for wind generation of 8 MW at the Villimar 220 kV node116. Hence, ALFOZ, as it informed the CNMC in the allegations to the access conflict reference CFT/DE 163/19, dated October 23, 2020, processed the access request to the transport network of EDP RENOVABLES ESPAÑA, S.L.U., for those 8 MW of wind generation from the Villimar 220 kV node.117  </w:t>
        <w:br/>
        <w:t xml:space="preserve">(148) In light of the described facts and the allegations presented by the parties, the Resolution of the SSR of the CNMC Council of September 22, 2021, reached the following conclusions118:  </w:t>
        <w:br/>
        <w:t xml:space="preserve">(149) First, it considered that the irregularities detected by REE in the requests of March 21 and 27, 2019, were not susceptible to rectification and should have been directly inadmissible by REE. Therefore, the requests submitted by the IUN (ALFOZ) were not only incomplete but also suffered from defects that should have led to their inadmissibility.  </w:t>
        <w:br/>
        <w:t xml:space="preserve">(150) Second, the Resolution of the SSR of the CNMC considered that the conduct of ALFOZ voluntarily obstructed the processing of GLOBAL SHAULA's request119:  </w:t>
        <w:br/>
        <w:t xml:space="preserve">“(...) from the analysis of the communications exchanged between ALFOZ and GLOBAL SHAULA, it can be concluded that ALFOZ's conduct was manifestly obstructive. From the first email demanding submission to a specific subject - easily rectifiable by ALFOZ itself - through the raising of inappropriate and unnecessary doubts, accompanied by a succession of emails with a clear dilatory intent.”  </w:t>
        <w:br/>
        <w:t xml:space="preserve">(151) In any case, the SSR of the CNMC Council indicated that “the IUN (...) is obliged to send any communication it has received to REE within five days of its receipt”120.  </w:t>
        <w:br/>
        <w:t xml:space="preserve">(152) Likewise, the SSR of the CNMC Council concluded that all requests for information from ALFOZ to GLOBAL SHAULA were “idle matters without legal support or any technical justification and that could not be made under any circumstances.”  </w:t>
        <w:br/>
        <w:t xml:space="preserve">“Considering the Criterion of simultaneity between wind and non-wind generation [Connection capacity (Installable power, MWins) based on the maximum simultaneous production capacity (MWprod) or 'trapezoid' of capacity]  </w:t>
        <w:br/>
        <w:t xml:space="preserve">MWinsWIND 1.25*MWprod  </w:t>
        <w:br/>
        <w:t xml:space="preserve">MWins NON-WIND + (0.8/1.25) *MWinsWIND MWprod  </w:t>
        <w:br/>
        <w:t xml:space="preserve">Available margin:  </w:t>
        <w:br/>
        <w:t xml:space="preserve">• Option that maximizes the integration of new photovoltaic generation: Margin of 16.59 MWnom for photovoltaic generation. No margin for the incorporation of additional wind generation.  </w:t>
        <w:br/>
        <w:t xml:space="preserve">• Option that maximizes the integration of wind: Margin of 8 MW for wind generation and 11.47 MWnom for photovoltaic generation.”  </w:t>
        <w:br/>
        <w:t xml:space="preserve">117 Allegations presented by EÓLICA DEL ALFOZ in CFT/DE/163/19 (folio 358).  </w:t>
        <w:br/>
        <w:t xml:space="preserve">118 Resolution of the SSR of September 22, 2021, in CFT/DE/163/19 GLOBAL SHAULA S.L. / REE (VILLIMAR 220 KV NODE) (folios 360 to 375, 538 to 553, and 772 to 787).  </w:t>
        <w:br/>
        <w:t xml:space="preserve">119 Resolution of the SSR of September 22, 2021, in CFT/DE/163/19 GLOBAL SHAULA S.L. / REE (VILLIMAR 220 KV NODE) (folios 372 and 373).  </w:t>
        <w:br/>
        <w:t xml:space="preserve">120 Resolution of the SSR of September 22, 2021, in CFT/DE/163/19 GLOBAL SHAULA S.L. / REE (VILLIMAR 220 KV NODE), (folio 370).  </w:t>
        <w:br/>
        <w:t xml:space="preserve">Comisión Nacional de los Mercados y la Competencia 36 de 109  </w:t>
        <w:br/>
        <w:t xml:space="preserve">C/ Alcalá, 47 – 28014 Madrid - C/ Bolivia, 56 – 08018 Barcelona  </w:t>
        <w:br/>
        <w:t>www.cnmc.es</w:t>
      </w:r>
    </w:p>
    <w:p>
      <w:r>
        <w:rPr>
          <w:b/>
        </w:rPr>
        <w:t>[Pages 37–39]</w:t>
      </w:r>
    </w:p>
    <w:p>
      <w:r>
        <w:t xml:space="preserve">S/0011/23  </w:t>
        <w:br/>
        <w:t xml:space="preserve">EÓLICA DE ALFOZ  </w:t>
        <w:br/>
        <w:t xml:space="preserve">the IUN in its capacity as representative of the interested parties in access” from the first request121 (emphasis added):  </w:t>
        <w:br/>
        <w:t xml:space="preserve">“On July 31, 2019, fifteen days after receiving it, ALFOZ responded to the access request submitted by GLOBAL SHAULA asking it to “forward this email and the attached information to the representative of the IUN whose details I provide (...).  </w:t>
        <w:br/>
        <w:t xml:space="preserve">This first requirement of the IUN already seems somewhat superfluous insofar as a simple internal forwarding of the request would have remedied the deficiency noted due to the lack of identification of the responsible party. ALFOZ states in this regard that it acted in this manner in order to “maintain formality.” This assertion could be accepted if it had been the only delay in the processing. GLOBAL SHAULA rightly points out that the information about the IUN provided by the REE website identifies only the name of the company and the address of the IUN.”  </w:t>
        <w:br/>
        <w:t xml:space="preserve">(153) As stated in the SSR Resolution of the CNMC Council, “considerations regarding capacity are exclusive to REE; in no case is it the responsibility of the IUN to assess the potential saturation of the node”122.  </w:t>
        <w:br/>
        <w:t xml:space="preserve">(154) Finally, regarding ALFOZ's request to GLOBAL SHAULA (to provide the location plan in a specific format in the email of September 20, 2019), the aforementioned Resolution indicated that it could not be considered a remedy in any way and, in any case, could have been requested much earlier.  </w:t>
        <w:br/>
        <w:t xml:space="preserve">(155) Based on these conclusions, the SSR Resolution of September 22, 2021 proceeded to assess to what extent ALFOZ's instrumentalization of its condition as IUN affected the order of temporal precedence of REE to carry out the allocation of the available capacity of the Villimar 220kV node. According to the SSR of the CNMC Council, diligent management by the IUN would have allowed GLOBAL SHAULA's request to be part of the SCA that exhausted the capacity of the node.  </w:t>
        <w:br/>
        <w:t xml:space="preserve">(156) The SSR Resolution of September 22, 2021 concluded that, until the receipt by REE of the SCA on August 2, 2019 (which included the required remedies for the requests of March 21 and 27, 2019), the contingent was not considered closed, and since GLOBAL SHAULA's request was submitted on July 16, 2019, in full, the IUN should have incorporated that access request into the SCA completed on August 2, 2019. Therefore, the aforementioned Resolution concludes that GLOBAL SHAULA's request was subject to “unjustified delays by the IUN.”  </w:t>
        <w:br/>
        <w:t xml:space="preserve">121 SSR Resolution of September 22, 2021, in CFT/DE/163/19 GLOBAL SHAULA S.L. / REE (VILLIMAR 220 KV NODE), (folio 372).  </w:t>
        <w:br/>
        <w:t xml:space="preserve">122 SSR Resolution of September 22, 2021, in CFT/DE/163/19 GLOBAL SHAULA S.L. / REE (VILLIMAR 220 KV NODE), page 13 (folio 550).  </w:t>
        <w:br/>
        <w:t xml:space="preserve">Comisión Nacional de los Mercados y la Competencia 37 de 109  </w:t>
        <w:br/>
        <w:t xml:space="preserve">C/ Alcalá, 47 – 28014 Madrid - C/ Bolivia, 56 – 08018 Barcelona  </w:t>
        <w:br/>
        <w:t>www.cnmc.es</w:t>
      </w:r>
    </w:p>
    <w:p>
      <w:r>
        <w:t xml:space="preserve">S/0011/23  </w:t>
        <w:br/>
        <w:t xml:space="preserve">EÓLICA DE ALFOZ  </w:t>
        <w:br/>
        <w:t xml:space="preserve">(157) According to the SSR, if the IUN (ALFOZ) had forwarded to REE the request from GLOBAL SHAULA, which met all the required criteria, without delaying it with all those communications, it would have been registered by REE in the temporal contingent and would have been part of the SCA of August 2, 2019 (emphasis added):  </w:t>
        <w:br/>
        <w:t xml:space="preserve">“For all the above reasons, it is appropriate to conclude that GLOBAL SHAULA met all the regulatory requirements that allowed it to integrate into the SCA that REE considered duly constituted on August 2, 2019, and that its exclusion was motivated by the unjustified delays of the IUN.”  </w:t>
        <w:br/>
        <w:t xml:space="preserve">(158) For all these reasons, on September 22, 2021, the SSR of the CNMC Council resolved to uphold the conflict raised by GLOBAL SHAULA, as well as:123  </w:t>
        <w:br/>
        <w:t xml:space="preserve">a) Nullify the communication from REE dated November 15, 2019, by which access to the network for the facilities of GLOBAL SHAULA corresponding to the REE reference DDS.DAR.19_6473 was denied.  </w:t>
        <w:br/>
        <w:t xml:space="preserve">b) Retract the actions of the improperly processed access procedure in order to integrate -along with the Abrazadilla, Terrae, and Cerevil facilities- the access request of the two wind facilities of 130 and 90 MW of GLOBAL SHAULA into the coordinated access request constituted on August 2, 2019.  </w:t>
        <w:br/>
        <w:t xml:space="preserve">4.2. Current Status at the Node  </w:t>
        <w:br/>
        <w:t xml:space="preserve">(159) In compliance with the aforementioned CNMC resolution of September 22, 2021, by communication dated October 16, 2021, REE granted access permission to the wind farms PE Torresandino (34.85 MWn) and PE Las Viñas (50.33 MWn) promoted by GLOBAL SHAULA. The capacity allocation made by REE was as follows124:  </w:t>
        <w:br/>
        <w:t xml:space="preserve">[CONFIDENTIAL]  </w:t>
        <w:br/>
        <w:t xml:space="preserve">(160) On December 2, 2021, GLOBAL SHAULA sent a request to REE in which it intended [CONFIDENTIAL].  </w:t>
        <w:br/>
        <w:t xml:space="preserve">(161) On December 16, 2021, by email, REE confirmed that both facilities, once the location was modified, could be considered the same for the purposes provided in DA14 of RD1955/2000125.  </w:t>
        <w:br/>
        <w:t xml:space="preserve">123 SSR Resolution of September 22, 2021, in CFT/DE/163/19 GLOBAL SHAULA S.L. / REE (VILLIMAR 220 KV NODE) (folio 365).  </w:t>
        <w:br/>
        <w:t xml:space="preserve">124 Information provided by GLOBAL SHAULA in response to an information request made by the Competition Directorate (folios 68, 79, and 80).  </w:t>
        <w:br/>
        <w:t xml:space="preserve">125 In compliance with the sixth section of the Additional Provision 14 of RD 1955/2000:  </w:t>
        <w:br/>
        <w:t xml:space="preserve">“Consideration of the same generation facility for the purposes of access and connection permits:  </w:t>
        <w:br/>
        <w:t xml:space="preserve">6. For the update of the access and connection permits requested and/or granted in accordance with the provisions of section four, the applicant or, where appropriate, the holder of the access and connection permits must inform the network manager of their intention to update the access and connection request in processing or, where appropriate, the granted access and connection permits. In view of this communication and the documentation provided, the network manager must pronounce on whether it considers that the update of the request or, where appropriate, of the granted access and connection permits is appropriate, considering that the proposed modifications allow the facility to continue to be regarded as the same as that which has requested or has been granted the access and connection permits.  </w:t>
        <w:br/>
        <w:t xml:space="preserve">The update will be conditioned, in any case, on the replacement of the initially presented economic guarantee with a second guarantee that reflects the new terms.  </w:t>
        <w:br/>
        <w:t xml:space="preserve">To this end, once it has the network manager's pronouncement on whether the facility remains the same for the purposes of the access and connection permits, the applicant or, where appropriate, the holder of such permits must address the competent authority for installation authorization to request the authorization for the replacement of the deposited guarantee and, if favorable, its submission to the General Deposit Fund.  </w:t>
        <w:br/>
        <w:t xml:space="preserve">Once the new guarantee has been deposited, it must be presented to the competent authority for installation authorization as proof of its establishment. The presentation of this proof will be an essential requirement to request the network transport manager, or where appropriate, the distribution network manager, to update the access and connection permits. For this purpose, the competent authority for granting the installation authorization will send the applicant confirmation of the proper establishment of the guarantee.  </w:t>
        <w:br/>
        <w:t xml:space="preserve">For the above purposes, the presentation to the competent authority for granting the installation authorization of the proof of having established the guarantee must be accompanied by an express request for that authority to pronounce on whether the guarantee is adequately established in order to be able to present such confirmation to the relevant network manager so that it can accept the update of the permits. If the request or the proof of guarantee deposit accompanying it do not comply with the regulations, the competent authority for granting the installation authorization will require the interested party to remedy it. For these purposes, the date of submission of the request will be considered to be that on which the remedy has been made”:  </w:t>
        <w:br/>
        <w:t xml:space="preserve">126 Information provided by GLOBAL SHAULA in response to an information request made by the Competition Directorate (folio 1252).  </w:t>
        <w:br/>
        <w:t xml:space="preserve">127 Information provided by GLOBAL SHAULA in response to an information request made by the Competition Directorate (folio 1252).  </w:t>
        <w:br/>
        <w:t xml:space="preserve">128 Information provided by GLOBAL SHAULA in response to an information request made by the Competition Directorate (folio 1252).  </w:t>
        <w:br/>
        <w:t xml:space="preserve">Comisión Nacional de los Mercados y la Competencia 39 de 109  </w:t>
        <w:br/>
        <w:t xml:space="preserve">C/ Alcalá, 47 – 28014 Madrid - C/ Bolivia, 56 – 08018 Barcelona  </w:t>
        <w:br/>
        <w:t>www.cnmc.es</w:t>
      </w:r>
    </w:p>
    <w:p>
      <w:r>
        <w:rPr>
          <w:b/>
        </w:rPr>
        <w:t>[Pages 40–42]</w:t>
      </w:r>
    </w:p>
    <w:p>
      <w:r>
        <w:t xml:space="preserve">S/0011/23  </w:t>
        <w:br/>
        <w:t xml:space="preserve">EÓLICA DE ALFOZ  </w:t>
        <w:br/>
        <w:t xml:space="preserve">(165) This second access conflict (CFT/DE/063/23) was raised by GLOBAL SHAULA, once determined by the SSR its right to be part of the requests for access to said node after the resolution of the first conflict CFT/DE/163/19. Its purpose concerned (i) the change of location of the facilities of the Las Viñas Wind Farm and the Torresandino Wind Farm; and (ii) the unification of the aforementioned two facilities into a single one called Las Viñas Wind Farm129. The CFT/DE/063/23 therefore has no direct connection with the possible conduct subject to analysis in this sanctioning file.  </w:t>
        <w:br/>
        <w:t xml:space="preserve">(166) According to GLOBAL SHAULA, it has requested the update of the access permit for [CONFIDENTIAL].130  </w:t>
        <w:br/>
        <w:t xml:space="preserve">(167) The wind facilities PE Las Viñas and PE Torresandino are located [CONFIDENTIAL].131  </w:t>
        <w:br/>
        <w:t xml:space="preserve">(168) For all the above, it is established that ALFOZ, in its capacity as IUN of the Villimar 220kV node, incurred delays in processing the request from GLOBAL SHAULA submitted on July 16, 2019, which resulted in the non-inclusion of said request in the contingent of the SCA submitted by ALFOZ in March 2019, although it was not considered complete by REE until August 2, 2019, and the denial of its request for access to the transmission network at said node, once the IUN submitted the request from GLOBAL SHAULA on September 24, 2019.  </w:t>
        <w:br/>
        <w:t xml:space="preserve">4.3. Chronology of the Main Established Facts  </w:t>
        <w:br/>
        <w:t xml:space="preserve">(169) In order to facilitate a better understanding of the previously described facts, a timeline is included below that succinctly reflects some of the main milestones related to the access procedure to the Villimar 400 kV node, subject to evaluation in the present file.  </w:t>
        <w:br/>
        <w:t xml:space="preserve">129 Resolution of the SSR of September 28, 2023 in CFT/DE/063/23 GLOBAL SHAULA S.L. / REE (VILLIMAR NODE 220 KV).  </w:t>
        <w:br/>
        <w:t xml:space="preserve">130 Information provided by GLOBAL SHAULA in response to the information request made by the Directorate of Competition (folios 1252 and 1253).  </w:t>
        <w:br/>
        <w:t xml:space="preserve">131 On March 29, 2022, [CONFIDENTIAL] was submitted. (folio 1250).  </w:t>
        <w:br/>
        <w:t xml:space="preserve">Comisión Nacional de los Mercados y la Competencia 40 de 109  </w:t>
        <w:br/>
        <w:t xml:space="preserve">C/ Alcalá, 47 – 28014 Madrid - C/ Bolivia, 56 – 08018 Barcelona  </w:t>
        <w:br/>
        <w:t>www.cnmc.es</w:t>
      </w:r>
    </w:p>
    <w:p>
      <w:r>
        <w:t xml:space="preserve">S/0011/23  </w:t>
        <w:br/>
        <w:t xml:space="preserve">EÓLICA DE ALFOZ  </w:t>
        <w:br/>
        <w:t xml:space="preserve">Comisión Nacional de los Mercados y la Competencia 41 de 109  </w:t>
        <w:br/>
        <w:t xml:space="preserve">C/ Alcalá, 47 – 28014 Madrid - C/ Bolivia, 56 – 08018 Barcelona  </w:t>
        <w:br/>
        <w:t>www.cnmc.es</w:t>
      </w:r>
    </w:p>
    <w:p>
      <w:r>
        <w:t xml:space="preserve">S/0011/23  </w:t>
        <w:br/>
        <w:t xml:space="preserve">EÓLICA DE ALFOZ  </w:t>
        <w:br/>
        <w:t xml:space="preserve">5. LEGAL BASIS  </w:t>
        <w:br/>
        <w:t xml:space="preserve">5.1. Applicable Regulations  </w:t>
        <w:br/>
        <w:t xml:space="preserve">The present file refers to a series of practices carried out during the validity of Law 15/2007, of July 3, on the Defense of Competition, which would be contrary to Article 2 of said law, which prohibits the abuse of a dominant position.  </w:t>
        <w:br/>
        <w:t xml:space="preserve">5.2. Proposal of the Investigating Body  </w:t>
        <w:br/>
        <w:t xml:space="preserve">(170) The DC proposed to this Chamber that it declare the existence of conduct prohibited by Article 2 of the LDC, constituting an abuse of a dominant position by ALFOZ in its capacity as IUN designated at the Villimar 220 kV node, consisting of discriminating against the projects of a third party, in the Spanish market for access and connection to the electricity transmission network at said node. Furthermore, the DC proposes that the joint liability for said infringement be attributed to BETA, as the 100% parent company of ALFOZ, under Article 61.2 of the LDC.  </w:t>
        <w:br/>
        <w:t xml:space="preserve">(171) Regarding the sanction, the investigating body proposes that a fine of 1,028,466 euros be imposed on ALFOZ, applying a sanctioning rate of 3.5% within the range provided in Article 63.1 of the LDC, for which its parent BETA would be jointly liable based on Article 61.2 of the LDC.  </w:t>
        <w:br/>
        <w:t xml:space="preserve">(172) The DC also proposes that the application of the prohibition on contracting provided in Article 71.1.b) of the LCSP be declared for both companies, setting a specific scope and duration. Specifically, the DC suggests that this prohibition be applied to ALFOZ and BETA, regarding any contract for the supply of goods or provision of services with the entire public sector in the market for access and connection to the national electricity transmission network, for a period of 12 months.  </w:t>
        <w:br/>
        <w:t xml:space="preserve">5.3. Assessment of the Competition Chamber  </w:t>
        <w:br/>
        <w:t xml:space="preserve">(173) The purpose of this section is to determine whether, in light of the established facts, ALFOZ, in its capacity as IUN at the Villimar 220 kV node of the electricity transmission network, incurred in an abuse of a dominant position as defined in Article 2 of the LDC.  </w:t>
        <w:br/>
        <w:t xml:space="preserve">(174) Specifically, Article 2 of the LDC prohibits "the abusive exploitation by one or more companies of their dominant position in all or part of the national market." In accordance with the provisions of this precept and with an established  </w:t>
        <w:br/>
        <w:t xml:space="preserve">Comisión Nacional de los Mercados y la Competencia 42 de 109  </w:t>
        <w:br/>
        <w:t xml:space="preserve">C/ Alcalá, 47 – 28014 Madrid - C/ Bolivia, 56 – 08018 Barcelona  </w:t>
        <w:br/>
        <w:t>www.cnmc.es</w:t>
      </w:r>
    </w:p>
    <w:p>
      <w:r>
        <w:rPr>
          <w:b/>
        </w:rPr>
        <w:t>[Pages 43–45]</w:t>
      </w:r>
    </w:p>
    <w:p>
      <w:r>
        <w:t xml:space="preserve">S/0011/23  </w:t>
        <w:br/>
        <w:t>EÓLICA DE ALFOZ</w:t>
      </w:r>
    </w:p>
    <w:p>
      <w:r>
        <w:t xml:space="preserve">national jurisprudence132 and European jurisprudence133, for a conduct to be classified as an abuse of a dominant position, it is necessary that two conditions are met cumulatively: one, that the infringer holds a dominant position in a relevant market; and two, that their behavior is abusive of that position.  </w:t>
        <w:br/>
        <w:t xml:space="preserve">(175) Consequently, it is necessary to determine whether ALFOZ holds a dominant position and, if so, whether it has abused that position through behaviors capable of limiting the development of free and effective competition.  </w:t>
        <w:br/>
        <w:t xml:space="preserve">(176) Prior to this dual analysis, it is necessary to determine the competence of the CNMC and whether ALFOZ's behaviors are likely to affect the national market.  </w:t>
        <w:br/>
        <w:t xml:space="preserve">5.4. Competence to Resolve  </w:t>
        <w:br/>
        <w:t xml:space="preserve">(177) According to Article 5.1.c) of Law 3/2013, of June 4, establishing the National Commission of Markets and Competition (LCNMC), the CNMC is responsible for "applying the provisions of Law 15/2007, of July 3, regarding behaviors that imply preventing, restricting, and distorting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 The above, without prejudice to the competencies that correspond to the autonomous competition defense bodies in their respective scope.  </w:t>
        <w:br/>
        <w:t xml:space="preserve">(178) The established facts fall within potential practices prohibited by Article 2 of the LDC. Given the delineation of the geographic market made, it is not considered that such practices affect trade between Member States, and therefore the existence of an infringement of Article 102 of the Treaty on the Functioning of the European Union (TFEU) has not been assessed.  </w:t>
        <w:br/>
        <w:t xml:space="preserve">(179) However, as established by national jurisprudence in the judicial review of numerous sanctioning resolutions applying exclusively the LDC for not proceeding with a parallel application of Articles 101 or 102 of the TFEU134, the interpretation of national regulations must respect the criteria and principles established by EU jurisprudence in the interpretation of the previous articles of the TFEU135. Therefore, in the present case, where an infringement of Article 2 of the LDC is being investigated, it is necessary to apply the jurisprudence of the Union regarding Article 102 of the TFEU.  </w:t>
        <w:br/>
        <w:t xml:space="preserve">(180) On the other hand, it is considered that the scope of the affected market is of a supra-autonomous nature, as the distribution of access nodes to the transmission network extends throughout the national territory and all of them are likely to have the figure of the IUN. Furthermore, the regulatory framework governing the conditions of access to the transmission network is of national scope and applies equally to all access requests, regardless of the territory in which such access takes place136.  </w:t>
        <w:br/>
        <w:t xml:space="preserve">(181) Although the designation of the IUN has not been carried out in the same manner throughout the national territory, as some Autonomous Communities declared themselves incompetent to carry it out, this does not imply a differentiated application of the regulation, since, as seen, said regulation does not govern the appointment and designation procedure of the IUN. In any case, it is not considered that the manner of such designation has had an effect on the behaviors assessed in this document.  </w:t>
        <w:br/>
        <w:t xml:space="preserve">(182) As previously noted, these are behaviors likely to limit the "right of access" to the national single transmission network of active promoters in the supra-autonomous market of electricity generation, whose geographic dimension, in the case of Spain, corresponds to the national peninsular territory137.  </w:t>
        <w:br/>
        <w:t xml:space="preserve">(183) The supra-autonomous dimension of the impact on the right of access to the single transmission network has been invoked by the Supreme Court, in a ruling of October 8, 2008, as a reason to justify that, while the Autonomous Communities have the competence to resolve "connection conflicts"138, the competence over "access conflicts" must necessarily fall to the central Administration139.  </w:t>
        <w:br/>
        <w:t xml:space="preserve">(184) In this case, markets are analyzed that, despite having a very localized geographic dimension, function as a gateway to activities of a much broader scope such as electricity generation140.  </w:t>
        <w:br/>
        <w:t xml:space="preserve">(185) Furthermore, it should be emphasized that the guarantee of the aforementioned right of access to the transmission network under competitive conditions is conceived as an essential right to complete the European internal electricity market. Respect for the right of access to transmission and distribution networks (which may be affected by the investigated behaviors) constitutes, as affirmed by the CJEU, one of the essential measures that Member States must guarantee for the realization of the internal electricity market141. This was, in fact, one of the reasons considered by the Supreme Court in the aforementioned ruling of October 8, 2008, to conclude that the competence regarding the conflict subject to the main litigation corresponded to the State and not to the Autonomous Community: "for competition to function correctly, access to the network must be on non-discriminatory, transparent, and reasonable terms, access that is paramount to completing the internal electricity market"142.  </w:t>
        <w:br/>
        <w:t xml:space="preserve">(186) In addition, the investigated behaviors affect a strategic sector of the national economy such as electricity generation from renewable sources. The impact on "strategic sectors of the economy"143 has also been one of the elements considered by the Constitutional Court, in its ruling of October 22, 2020, within the framework of a positive conflict of competence raised by an Autonomous Community, to conclude that the competence corresponded to the CNMC and not to the autonomous authority144.  </w:t>
        <w:br/>
        <w:t xml:space="preserve">(187) Therefore, the CNMC is the competition authority best positioned, at the national level, to adequately analyze and sanction these practices, and it has been able to gather the required evidence to prove the infringement during the investigation carried out by the DC.  </w:t>
        <w:br/>
        <w:t xml:space="preserve">140 Judgment of the Constitutional Court 71/2012 of April 16, 2012, ECLI:ES:TC:2012:71, in which a positive conflict of competence was resolved in favor of the state competition authority. Such situations where behaviors materialize in very localized spaces can also have an impact on competition in much broader areas, as is often the case in ports and airports; see, for example, the Judgment of the Court of Justice, of July 17, 1997 - GT-Link v De Danske Statsbaner, C-242/95, ECLI:EU:C:1997:376.  </w:t>
        <w:br/>
        <w:t xml:space="preserve">141 Judgment of the Court of Justice May 22, 2008 Citiworks, C-439/06, ECLI: EU:C:2008:298, paragraphs 38 to 44.  </w:t>
        <w:br/>
        <w:t xml:space="preserve">142 Judgment of the Supreme Court 5213/2008, of October 8, 2008, ECLI:ES:TS:2008:5213.  </w:t>
        <w:br/>
        <w:t xml:space="preserve">143 Among those included are "electricity, gas, communications and telephony, banks, insurance, fuels, large surfaces."  </w:t>
        <w:br/>
        <w:t>144 Judgment of the Constitutional Court 152/2020 of October 22, 2020, ECLI:ES:TC:2020:152.</w:t>
      </w:r>
    </w:p>
    <w:p>
      <w:r>
        <w:rPr>
          <w:b/>
        </w:rPr>
        <w:t>[Pages 46–48]</w:t>
      </w:r>
    </w:p>
    <w:p>
      <w:r>
        <w:t xml:space="preserve">S/0011/23  </w:t>
        <w:br/>
        <w:t>EÓLICA DE ALFOZ</w:t>
      </w:r>
    </w:p>
    <w:p>
      <w:r>
        <w:t xml:space="preserve">5.5. Qualification of Conducts  </w:t>
        <w:br/>
        <w:t xml:space="preserve">(188) Article 62.4. b) of the LDC, in its version prior to the amendment made by Royal Decree-Law 7/2021145, classified as very serious a practice of abuse of a dominant position that we could refer to as "qualified" due to the occurrence of any of these three causes:  </w:t>
        <w:br/>
        <w:t xml:space="preserve">- The dominant company operates in a recently liberalized market;  </w:t>
        <w:br/>
        <w:t xml:space="preserve">- the dominant company has a market share close to monopoly, or  </w:t>
        <w:br/>
        <w:t xml:space="preserve">- the dominant company enjoys special or exclusive rights.  </w:t>
        <w:br/>
        <w:t xml:space="preserve">(189) Currently, the valid version of Article 62.4 of the LDC qualifies any abuse of a dominant position typified in Article 2 of this law as "very serious."  </w:t>
        <w:br/>
        <w:t xml:space="preserve">(190) In the present case, as has been explained, the figure of the IUN was endowed with special rights by Annex XV of Royal Decree 413/2014, as a necessary processor of access to a given node of the electricity transmission network. The designation as IUN, requested by ALFOZ itself, conferred upon that company certain prerogatives or exclusive rights characteristic of this legal figure for the joint and coordinated processing before REE of the individual access requests received; and acting as a representative of the promoters sharing the same access point146.  </w:t>
        <w:br/>
        <w:t xml:space="preserve">(191) Therefore, the described conducts would fall within a scenario in which ALFOZ would have taken advantage of the exclusive rights conferred by its status as IUN at the affected node, which entails the qualification of the abuse of a dominant position committed as an infringement contrary to Article 2 of the LDC and classified as very serious under Article 62.4.b) of the LDC.  </w:t>
        <w:br/>
        <w:t xml:space="preserve">145 Royal Decree-Law 7/2021, of April 27, on the transposition of European Union directives in the areas of competition, prevention of money laundering, credit institutions, telecommunications, tax measures, prevention and repair of environmental damage, displacement of workers in the provision of transnational services, and consumer protection, "BOE" No. 101, of April 28, 2021.  </w:t>
        <w:br/>
        <w:t>146 Regarding Additional Provision XV of Royal Decree 413/2014, two clear normative attributions of the IUN can be deduced, namely, and in relation to its attributions, the Resolution of the SSR dated July 22, 2020, in the access conflict CFT/DE/114/19 stated that this regulation includes the obligation of the IUN to act on behalf of the promoters, which entails, at least, and according to the applicability of the general principles of law, the duty of the IUN to act "under the requirements of good faith and without incurring in abuse of rights."</w:t>
      </w:r>
    </w:p>
    <w:p>
      <w:r>
        <w:t xml:space="preserve">S/0011/23  </w:t>
        <w:br/>
        <w:t>EÓLICA DE ALFOZ</w:t>
      </w:r>
    </w:p>
    <w:p>
      <w:r>
        <w:t xml:space="preserve">5.5.1. On the Dominant Position of ALFOZ  </w:t>
        <w:br/>
        <w:t xml:space="preserve">5.5.1.1. General Principles  </w:t>
        <w:br/>
        <w:t xml:space="preserve">(192) Although Article 2 of the LDC does not define the concept of dominant position, in accordance with repeated jurisprudence of the Union147 with the Commission's Communication on the application of Article 102 of the TFEU148, as well as with numerous resolutions of the Spanish competition authority149, the dominant position has been defined as "the situation of economic power in which a company finds itself and which allows it to prevent effective competition in the relevant market, granting it the ability to behave with a considerable degree of independence from its competitors, its customers, and ultimately, consumers."  </w:t>
        <w:br/>
        <w:t xml:space="preserve">(193) The dominant position of an operator will therefore be determined by its ability to maintain, significantly, an independent behavior with respect to its sources of competitive pressure150. This margin of independence from competitors and customers need not be absolute, but it suffices that it is "appreciable" or "considerable"151.  </w:t>
        <w:br/>
        <w:t xml:space="preserve">147 Judgments of the Court of Justice of February 14, 1978, United Brands Company v Commission, 27/76, EU:C:1978:22; of February 13, 1979, Hoffman – La Roche v. Commission 85/76, EU:C:1979:36; of November 9, 1983, Michelin v. Commission, 322/81, EU:C: 1983:313; and of October 3, 1985, Telemarketing, 311/84, EU:C:1985:394.  </w:t>
        <w:br/>
        <w:t xml:space="preserve">148 "Guidelines on the Commission's priorities in applying Article 82 of the EC Treaty to the abusive exclusionary conduct of dominant companies" (2009/C 45/02).  </w:t>
        <w:br/>
        <w:t xml:space="preserve">149 Resolution of the former CNC of February 22, 2011, (file S/0180/10 ArcelorMittal). Resolutions of the CNMC of January 21, 2014 (file S/0373/11 CORREOS 2), August 26, 2013 (file S/0360/11 AGEDI), June 8, 2017 (file S/DC/0557/15 Nokia), November 21, 2017 (file S/DC/0580/16 Criadores de caballos 2), February 18, 2022 (file S/0041/19 CORREOS 3), May 17, 2022 (file S/0044/19 REAL SOCIEDAD CANINA DE ESPAÑA), June 10, 2022 (file S/0022/20 ENEL GREEN POWER ESPAÑA), October 21, 2022 (file S/0026/19 MERCK SHARP DOHME, S.A.), November 10, 2022 (file S/0028/20 LEADIANT), and December 22, 2023 (file S/0003/23 LUMINORA).  </w:t>
        <w:br/>
        <w:t xml:space="preserve">150 Decision of the Commission of June 27, 2017 AT.39740 Google Search (Shopping), confirmed by the Judgment of the General Court of November 10, 2021 Google LLC, formerly Google Inc. and Alphabet, Inc. v. European Commission, T-612/17, EU: T: 2021:763. In this same sense, the Spanish Competition Authority has stated: in the Resolution of the former CNC of February 22, 2011 (file S/0180/10 ArcelorMittal) and in the Resolutions of the CNMC of August 26, 2013 (file S/0360/11 AGEDI), January 21, 2014 (file S/0373/11 CORREOS 2), June 8, 2017 (file S/DC/0557/15 Nokia), November 21, 2017 (file S/DC/0580/16 Criadores de caballos 2), February 18, 2022 (file S/0041/19 CORREOS 3), May 17, 2022 (file S/0044/19 REAL SOCIEDAD CANINA DE ESPAÑA), June 10, 2022 (file S/0022/20 ENEL GREEN POWER ESPAÑA), October 21, 2022 (file S/0026/19 MERCK SHARP DOHME, S.A.), November 10, 2022 (file S/0028/20 LEADIANT), and December 22, 2023 (file S/0003/23 LUMINORA).  </w:t>
        <w:br/>
        <w:t>151 Resolution of the CNC of March 17, 2011 (file S/0153/09 Mediapro).</w:t>
      </w:r>
    </w:p>
    <w:p>
      <w:r>
        <w:t xml:space="preserve">S/0011/23  </w:t>
        <w:br/>
        <w:t>EÓLICA DE ALFOZ</w:t>
      </w:r>
    </w:p>
    <w:p>
      <w:r>
        <w:t xml:space="preserve">(194) The Spanish competition authority, based on EU jurisprudence, has indicated that152:  </w:t>
        <w:br/>
        <w:t xml:space="preserve">"A company enjoys a dominant position in a market when it has in it sufficient economic power and independence of behavior to act without taking into account the possible reactions of competitors and, in this way, be able to modify to its advantage the price or another characteristic of the product."  </w:t>
        <w:br/>
        <w:t xml:space="preserve">(195) When determining a company's dominant position, as noted in the aforementioned Communication from the European Commission on the application of Article 102 of the TFEU153, "market shares provide a first useful indication for the Commission regarding the structure of the market and the relative importance of the different companies active in the market."  </w:t>
        <w:br/>
        <w:t xml:space="preserve">(196) However, it is necessary to remember that, as the CJEU has specified, market shares are not the only criterion to be taken into account, so the conditions of the relevant market must be examined, especially the market dynamics154:  </w:t>
        <w:br/>
        <w:t xml:space="preserve">"The existence of a dominant position is, in general, the result of a combination of various factors that, considered in isolation, would not necessarily be decisive."  </w:t>
        <w:br/>
        <w:t xml:space="preserve">(197) For the evaluation of the dominant position, it is necessary to carry out a structural analysis of the market and take into account other determining factors, such as the likelihood of entry of potential competitors or the future expansion of actual competitors, along with entry barriers and the bargaining power of the company's customers (compensatory power of demand)155.  </w:t>
        <w:br/>
        <w:t xml:space="preserve">(198) It should be noted, in this regard, that several national precedents have determined that the existence of an administrative power or privilege derived from regulation can give rise to a dominant position152.  </w:t>
        <w:br/>
        <w:t xml:space="preserve">152 Among others, in the resolutions of the former TDC of May 10, 1999 (file 344/98 Aluminios Navarra), July 7, 1999 (file 441/98 Electra Avellana), and September 30, 1999 (file 362/99 Bacardí), of the former CNC of February 22, 2011, (file S/0180/10 ArcelorMittal) and in the resolutions of the CNMC of June 8, 2017 (file S/DC/0557/15 Nokia), February 18, 2022 (file S/0041/19 CORREOS 3), June 10, 2022 (file S/0022/20 ENEL GREEN POWER ESPAÑA), and December 22, 2023 (file S/0003/23 LUMINORA).  </w:t>
        <w:br/>
        <w:t xml:space="preserve">153 Paragraphs 13 and 15 of the European Commission Communication "Guidelines on the Commission's control priorities in applying Article 82 of the EC Treaty to the abusive exclusionary conduct of dominant companies."  </w:t>
        <w:br/>
        <w:t xml:space="preserve">154 CJEU Judgment of December 6, 2012, Astrazeneca AB and Astrazeneca plc v. Commission, C 457/10 P (ECLI:EU:C:2012:770).  </w:t>
        <w:br/>
        <w:t>155 European Commission Decision of February 10, 2021 in case AT.40394 – ASPEN.</w:t>
      </w:r>
    </w:p>
    <w:p>
      <w:r>
        <w:rPr>
          <w:b/>
        </w:rPr>
        <w:t>[Pages 49–51]</w:t>
      </w:r>
    </w:p>
    <w:p>
      <w:r>
        <w:t xml:space="preserve">S/0011/23  </w:t>
        <w:br/>
        <w:t xml:space="preserve">EÓLICA DE ALFOZ  </w:t>
        <w:br/>
        <w:t xml:space="preserve">subject to Article 2 LDC156. Thus, for example, in the cases known as "Céntrica," the Council of the CNC stated that:  </w:t>
        <w:br/>
        <w:t xml:space="preserve">"The distributor, as the holder of an exclusive right conferred by that dominant position, is subject to a series of obligations aimed at preventing competition in marketing from being distorted (...)"157.  </w:t>
        <w:br/>
        <w:t xml:space="preserve">"At this point, it is worth noting that both community and national jurisprudence support the doctrine according to which the company in a dominant position has a special responsibility to avoid conduct that harms the free development of competition, especially when it comes to a dominant position guaranteed by regulation (...)"158.  </w:t>
        <w:br/>
        <w:t xml:space="preserve">(199) Well, as previously seen, the designation of a company as IUN implies the granting of an administrative power or privilege derived from the regulation of the electricity sector by becoming a necessary processor of access requests in a granting system until the capacity of the node is exhausted. Therefore, in its resolutions of June 10, 2022, and December 20, 2024, adopted respectively in files S/0022/20 and S/0003/23, this Chamber already declared that, to the extent that the powers of the IUN confer upon it a considerable autonomy to at least delay the requests of other promoters and give preference to the access requests of its own projects, thereby temporarily restricting competition for the capacity of the node, the IUN holds a dominant position in the specific node in which it exercises this function159.  </w:t>
        <w:br/>
        <w:t xml:space="preserve">(200) The Energy Directorate of the CNMC itself has indicated that the access system until capacity exhaustion is what determines the dominant position of the IUN160, especially intense in those nodes close to saturation, as it combines with the obligation to process requests jointly and coordinated through the IUN. Given the limited existing regulation regarding its actions, the IUN has the freedom to choose which requests it will process jointly and coordinated, and therefore, to decide or at least significantly influence which requests will be processed first and which at a later time, in situations close to the saturation of the node.  </w:t>
        <w:br/>
        <w:t xml:space="preserve">156 Resolutions of the former CNC of April 2, 2009, in the files of the former CNC: 641/08 CENTRICA/ENDESA; 642/08 CENTRICA/UNIÓN FENOSA; 643/08 CENTRICA/ELÉCTRICA DEL VIESGO; 644/08 CENTRICA/IBERDROLA; 645/08 CENTRICA/HIDROCANTÁBRICO and Resolution of the CNMC of June 10, 2022 (File ENEL GREEN POWER ESPAÑA S/0022/20).  </w:t>
        <w:br/>
        <w:t xml:space="preserve">157 Resolution of the former CNC of April 2, 2009, in file 641/08 CENTRICA/ENDESA.  </w:t>
        <w:br/>
        <w:t xml:space="preserve">158 Resolution of the former CNC of April 2, 2009, in file 642/08 CENTRICA/UNIÓN FENOSA.  </w:t>
        <w:br/>
        <w:t xml:space="preserve">159 Resolution of June 10, 2022, File S/0022/20 ENEL GREEN POWER ESPAÑA.  </w:t>
        <w:br/>
        <w:t xml:space="preserve">160 Report dated November 4, 2019, sent by the Energy Directorate at the request of the Competition Directorate in file S/0022/20 ENEL GREEN POWER ESPAÑA, incorporated into the reference file by means of testimony deduction (pages 1240 to 1251).  </w:t>
        <w:br/>
        <w:t xml:space="preserve">Comisión Nacional de los Mercados y la Competencia 49 de 109  </w:t>
        <w:br/>
        <w:t xml:space="preserve">C/ Alcalá, 47 – 28014 Madrid - C/ Bolivia, 56 – 08018 Barcelona  </w:t>
        <w:br/>
        <w:t>www.cnmc.es</w:t>
      </w:r>
    </w:p>
    <w:p>
      <w:r>
        <w:t xml:space="preserve">S/0011/23  </w:t>
        <w:br/>
        <w:t xml:space="preserve">EÓLICA DE ALFOZ  </w:t>
        <w:br/>
        <w:t xml:space="preserve">5.5.1.2. Application to the case: dominant position of ALFOZ as IUN of the Villimar 220kV node  </w:t>
        <w:br/>
        <w:t xml:space="preserve">(201) Considering the explanations from the previous section, since the market in which the investigated practices take place is that of access and connection to the transmission network at the Villimar 220kV node161 and that ALFOZ was designated as IUN of this node in October 2015162 (paragraph (23)), this company would, in principle, hold a dominant position in the Villimar 220kV node, which is not in itself reproachable from the perspective of competition law, as long as the dominant operator does not infringe the special responsibility that derives from this condition by abusing it.  </w:t>
        <w:br/>
        <w:t xml:space="preserve">(202) To confirm or refute this preliminary inference regarding ALFOZ's dominant position at the Villimar 220kV node, it is necessary to consider the specific circumstances of the present case and the allegations made by ALFOZ.  </w:t>
        <w:br/>
        <w:t xml:space="preserve">5.5.1.2.1 ALFOZ's ability to limit competition in the market in its capacity as IUN  </w:t>
        <w:br/>
        <w:t xml:space="preserve">(203) Regarding the specific circumstances of the present case, it must be established whether, regardless of the lesser or greater access quota to the node of the facilities linked to ALFOZ, its status as IUN conferred upon it – as generally occurs with this legal figure – a considerable autonomy to at least delay the requests of other promoters, thereby temporarily restricting competition for the capacity of the node, as pointed out in paragraph (199) above.  </w:t>
        <w:br/>
        <w:t xml:space="preserve">(204) In this regard, the proven facts confirm this freedom of action and the autonomy of ALFOZ, in its capacity as IUN, to decide which projects would be part of the requests to be processed jointly and coordinated before REE and to exclude others, and therefore, to restrict competition for the capacity of the Villimar 220kV node.  </w:t>
        <w:br/>
        <w:t xml:space="preserve">(205) It has been specifically proven that ALFOZ – as a necessary intermediary between the promoters seeking access to the node and REE – had the capacity to determine, through its actions, the moment when the access requests of these promoters would be sent to REE. In particular regarding GLOBAL SHAULA, ALFOZ:  </w:t>
        <w:br/>
        <w:t xml:space="preserve">- Required it to resend its access request to a different person within its business group (paragraph (126)).  </w:t>
        <w:br/>
        <w:t xml:space="preserve">- Requested clarifications on whether this request referred to a new position at Villimar 220 kV (paragraph (130)).  </w:t>
        <w:br/>
        <w:t xml:space="preserve">- Raised interpretative doubts regarding its request (paragraph (132));  </w:t>
        <w:br/>
        <w:t xml:space="preserve">- Requested additional technical information again (paragraph (135));  </w:t>
        <w:br/>
        <w:t xml:space="preserve">(206) With these actions, which it carried out as IUN of the Villimar 220 kV node, ALFOZ was able to delay the submission of GLOBAL SHAULA's access request to REE by more than two months, as it received it on July 16, 2019 (paragraph (125)) and did not send it to the network manager until September 24 of that same year (paragraph (136)).  </w:t>
        <w:br/>
        <w:t xml:space="preserve">(207) This ultimately led to GLOBAL SHAULA's request not being integrated into the SCA that exhausted the capacity of the node and that its facilities were excluded, as clearly inferred from the proven facts and expressly established by the SSR resolution in the access conflict CFT/DE/163/19163, promoted precisely as a result of ALFOZ's actions as IUN of the Villimar 220 kV node.  </w:t>
        <w:br/>
        <w:t xml:space="preserve">5.5.1.2.2 ALFOZ's allegations regarding the absence of a dominant position  </w:t>
        <w:br/>
        <w:t xml:space="preserve">(208) ALFOZ dedicates the second allegation of its response to the Proposal for Resolution to argue that "its conduct as IUN does not constitute an economic activity, and therefore is not subject to the LDC"164.  </w:t>
        <w:br/>
        <w:t xml:space="preserve">(209) To support this argument, ALFOZ asserts, first, that it does not meet the subjective requirement for the application of the LDC as it cannot be considered a "company," in the sense of competition law, due to the lack of the defining requirements stated by EU jurisprudence: "offering goods and services in a specific market" [...] "typically in competition with similar activities" [...] "without connection to the exercise of public power prerogatives" [...] "in exchange for an economic consideration from its users or recipients" [...] assuming at its own expense "an economic or commercial risk"165.  </w:t>
        <w:br/>
        <w:t xml:space="preserve">163 It is specifically stated in the SSR resolution of September 22, 2019, which concludes CFT/DE/163/19: "For all the above, it is appropriate to conclude that GLOBAL SHAULA met all the regulatory requirements that allowed it to integrate into the SCA that REE considered duly constituted on August 2, 2019, and that its exclusion was motivated by the unjustified delays of the IUN." (Emphasis added).  </w:t>
        <w:br/>
        <w:t xml:space="preserve">164 Pages 9 to 13 of ALFOZ's allegations to the Proposal for Resolution (pages 1842 to 1846).  </w:t>
        <w:br/>
        <w:t xml:space="preserve">165 Page 10 of ALFOZ's allegations to the Proposal for Resolution (page 1843).  </w:t>
        <w:br/>
        <w:t xml:space="preserve">Comisión Nacional de los Mercados y la Competencia 51 de 109  </w:t>
        <w:br/>
        <w:t xml:space="preserve">C/ Alcalá, 47 – 28014 Madrid - C/ Bolivia, 56 – 08018 Barcelona  </w:t>
        <w:br/>
        <w:t>www.cnmc.es</w:t>
      </w:r>
    </w:p>
    <w:p>
      <w:r>
        <w:rPr>
          <w:b/>
        </w:rPr>
        <w:t>[Pages 52–54]</w:t>
      </w:r>
    </w:p>
    <w:p>
      <w:r>
        <w:t xml:space="preserve">S/0011/23  </w:t>
        <w:br/>
        <w:t>EÓLICA DE ALFOZ</w:t>
      </w:r>
    </w:p>
    <w:p>
      <w:r>
        <w:t xml:space="preserve">(210) It points out, in this regard, that "its designation as IUN is a regulatory burden that derives directly and exclusively from a legal norm of mandatory compliance and that EDA [ALFOZ] cannot therefore evade," adding that "EdA [ALFOZ] has not received any remuneration, payment, or consideration for its services as IUN, nor does it assume any financial or commercial risk"166.  </w:t>
        <w:br/>
        <w:t xml:space="preserve">(211) It also argues that "it does not operate in the market for access and connection to the electricity transmission network, so it can hardly be dominant in it" and that "[i]t is REE that exclusively provides this access and connection service"167.  </w:t>
        <w:br/>
        <w:t xml:space="preserve">(212) Finally, it claims that "it has disassociated itself from the EDP group, the promoter of one of the supposedly benefited parks" by the investigated conduct, and therefore does not meet the essential characteristic that determines the dominant position of an IUN: the dual condition of being an IUN and a promoter of an installation that competes for the available capacity through the access node to the network.  </w:t>
        <w:br/>
        <w:t xml:space="preserve">(213) Such arguments cannot prosper. As will be explained in greater detail below, ALFOZ is indeed a company in the sense of Competition Law and has maintained a clear link with one of the competing installations for the capacity of the Villimar 220 kV node that could have benefited from the ability to limit such competition that ALFOZ's status as IUN conferred.  </w:t>
        <w:br/>
        <w:t xml:space="preserve">a) On the qualification of ALFOZ as a company and the performance of an economic activity  </w:t>
        <w:br/>
        <w:t xml:space="preserve">(214) Regarding the qualification of ALFOZ as a "company," an active subject of Competition Law, the LDC, adopting the definition that EU jurisprudence has made of this concept, establishes in its fourth additional provision that "[f]or the purposes of this Law, any person or entity that engages in an economic activity is understood to be a company, regardless of the legal status of that entity and its mode of financing."  </w:t>
        <w:br/>
        <w:t xml:space="preserve">(215) It is evident that ALFOZ meets this definition as it "engages in an economic activity" since, as pointed out in paragraph (21) above, it is a company whose corporate purpose is the production, transport, and distribution of wind energy, as well as the organization and exploitation of activities and businesses and analysis of wind resources, marketing, design, construction, manufacturing, operation, maintenance, and exploitation of wind power plants and their equipment168. For this activity, it invoiced more than [CONFIDENTIAL] million euros in 2023 according to ALFOZ's own response to an information request from the DC made in the context of this file169.  </w:t>
        <w:br/>
        <w:t xml:space="preserve">(216) In fact, its status as IUN of the Villimar 220 kV node derives precisely from this economic activity of generating electrical energy. Contrary to what ALFOZ maintains in its allegations to the Proposal for Resolution, the designation as IUN does not constitute a legal regulatory burden that falls, without more, on a specific company and that it must bear selflessly, but rather an IUN is designated among companies that, precisely because they are direct or indirect promoters of electricity generation installations170, have an economic interest in being assigned a certain portion of the limited capacity of an access node to the transmission network. We must therefore reject ALFOZ's argument that seeks to dissociate its profit-making activity as a wind energy generation company from its unpaid activity as IUN of the Villimar 220 kV node.  </w:t>
        <w:br/>
        <w:t xml:space="preserve">(217) This absence of remuneration does not preclude the presence of ALFOZ in the market for access and connection to the network, given that, as has just been pointed out (and will be further emphasized in paragraphs (219) to (235)), at least one generation plant linked to ALFOZ competed for access to that node. Note that the way in which competition develops among companies for access capacity to the node in this market will be decisive for the economic returns that companies can achieve in the electricity generation market in which those companies do obtain remuneration for their activity, given that the first of these markets constitutes the gateway to the second.  </w:t>
        <w:br/>
        <w:t xml:space="preserve">(218) The argument that ALFOZ can hardly be dominant in it, because "REE is the one that exclusively provides this access and connection service," must also be dismissed. While it is true that REE ultimately determines the allocation of access capacity among operators seeking to access it, the network operator's decision in this regard is directly conditioned by the way in which the IUN performs its necessary intermediary function when processing the various access requests. As has already been stated, the established facts have confirmed the IUN's ability to condition competition for access capacity to the node in this specific case (see among others paragraphs (205) to (207)).  </w:t>
        <w:br/>
        <w:t xml:space="preserve">169 Page 1501.  </w:t>
        <w:br/>
        <w:t xml:space="preserve">170 See what is noted in this regard in section 3.1.1.4 of this resolution, and in particular in paragraphs (63) to (84).  </w:t>
        <w:br/>
        <w:t xml:space="preserve">S/0011/23  </w:t>
        <w:br/>
        <w:t xml:space="preserve">EÓLICA DE ALFOZ  </w:t>
        <w:br/>
        <w:t xml:space="preserve">b) On the concurrence in ALFOZ of the dual condition of IUN and promoter of installations competing for access to the node  </w:t>
        <w:br/>
        <w:t xml:space="preserve">(219) The argument of ALFOZ that it lacked the dual condition of IUN and promoter of installations competing for access to the node, due to having disassociated itself from the EDP Group since June 27, 2019, and therefore from the Terrae installation belonging to that business group, cannot be accepted.  </w:t>
        <w:br/>
        <w:t xml:space="preserve">(220) Although, as established by EU jurisprudence, the infringement of Competition Law "must be unequivocally attributed to a legal entity to which fines can be imposed and the statement of objections must be addressed to this latter171," the concept of "company" as an active subject of the infringements of this Law transcends the formal notion of legal entity. It is a functional concept that can encompass a plurality of companies or even assets without legal personality included within the same economic and decision-making unit172.  </w:t>
        <w:br/>
        <w:t xml:space="preserve">(221) Certainly, shareholdings among different companies can constitute a relevant indicator for establishing the perimeter of the unit of control or decision that encompasses the companies or assets that make up a particular "company" in the sense of Competition Law. A good reflection of this is the responsibility of the parent company for the actions of its subsidiaries established in Article 61.2 of the LDC, whose foundation lies in the iuris tantum presumption that when a parent company directly or indirectly participates in around 100% of the share capital of a subsidiary, it can be presumed that the parent company exerts decisive influence over its behavior.  </w:t>
        <w:br/>
        <w:t xml:space="preserve">(222) However, shareholding is not the only parameter that determines the economic and control unit that defines a "company"; other types of links between the companies and assets that comprise it can be decisive. Such control can derive from other types of relationships between these companies and assets, such as the existence of contracts, personal links (such as sharing directors, managers, or representatives173), or other ties that connect them174.  </w:t>
        <w:br/>
        <w:t xml:space="preserve">171 Judgment of the CJEU of September 10, 2009, in case C-97/08 P - Akzo Nobel and others/Commission, ECLI:EU:C:2009:536, paragraph 57.  </w:t>
        <w:br/>
        <w:t xml:space="preserve">172 See, for example, the Judgment of the CJEU (Grand Chamber) of October 6, 2021, in case C-882/19 SUMAL, ECLI:EU:C:2021:800, paragraph 44 and the cited jurisprudence.  </w:t>
        <w:br/>
        <w:t xml:space="preserve">173 See, for example, the judgment of the CJEU of February 17, 1978, Case 15/74, Centrafarm BV and Adriaan de Peijper/Sterling Drug Inc or the judgment of the Supreme Court of November 27, 2007, appeal no. 2918/2002.  </w:t>
        <w:br/>
        <w:t>174 Article 7.2 of the LDC, relating to the definition of control, establishes that it "will result from contracts, rights, or any other means that, taking into account the factual and legal circumstances, confer the possibility of exercising decisive influence over a company and, in particular, through:</w:t>
      </w:r>
    </w:p>
    <w:p>
      <w:r>
        <w:rPr>
          <w:b/>
        </w:rPr>
        <w:t>[Pages 55–57]</w:t>
      </w:r>
    </w:p>
    <w:p>
      <w:r>
        <w:t xml:space="preserve">S/0011/23  </w:t>
        <w:br/>
        <w:t xml:space="preserve">EÓLICA DE ALFOZ  </w:t>
        <w:br/>
        <w:t xml:space="preserve">(223) In this regard, the DC extensively justified the existence of links between ALFOZ and the generation project Terrae - whose ownership belongs to EDPR - following the disassociation of shareholding between EDP and ALFOZ in June 2019175, without ALFOZ even attempting to refute them in its allegations to the Proposal for Resolution.  </w:t>
        <w:br/>
        <w:t xml:space="preserve">(224) Some of the main circumstances invoked by the DC to establish this relationship are as follows:  </w:t>
        <w:br/>
        <w:t xml:space="preserve">(225) EDPR (from the EDP Group and promoter of Terrae) has as its sole administrator and parent company EDP RENEWABLES EUROPE, S.L., whose parent company is, in turn, EDP RENOVAVEIS, S.A. These two companies, EDPR and EDPR RENEWABLES EUROPE, S.L. are also joint administrators of ALFOZ176.  </w:t>
        <w:br/>
        <w:t xml:space="preserve">(226) One of the representatives of ALFOZ is also177:  </w:t>
        <w:br/>
        <w:t xml:space="preserve">• a joint administrator178 and representative179 of EDPR;  </w:t>
        <w:br/>
        <w:t xml:space="preserve">• a representative of Eólica de Campollano (a company 75% owned by EDP Renovables España), which also shares the same registered office as ALFOZ180;  </w:t>
        <w:br/>
        <w:t xml:space="preserve">• a representative before the CNMC, both of ALFOZ and its parent BETA (implicated in this file under Article 61.2 LDC), as well as of EDP RENOVABLES ESPAÑA, S.L.U. (EDP Group and owner of Terrae).  </w:t>
        <w:br/>
        <w:t xml:space="preserve">(227) Another representative and joint administrator of ALFOZ181:  </w:t>
        <w:br/>
        <w:t xml:space="preserve">a) rights of ownership or use of all or part of the assets of a company,  </w:t>
        <w:br/>
        <w:t xml:space="preserve">b) contracts, rights, or any other means that allow for decisive influence over the composition, deliberations, or decisions of the company's bodies.”  </w:t>
        <w:br/>
        <w:t xml:space="preserve">175 Paragraphs 335 to 358 of the Proposal for Resolution (folios 1809 to 1815).  </w:t>
        <w:br/>
        <w:t xml:space="preserve">176 Information available in the Informa database and incorporated into the reference file (folio 925).  </w:t>
        <w:br/>
        <w:t xml:space="preserve">177 Information available on the BORME-A-2020-81-28 website  </w:t>
        <w:br/>
        <w:t xml:space="preserve">https://www.boe.es/borme/dias/2020/04/28/pdfs/BORME-A-2020-81-28.pdf and  </w:t>
        <w:br/>
        <w:t xml:space="preserve">https://www.boe.es/borme/dias/2019/08/21/pdfs/BORME-A-2019-159-28.pdf  </w:t>
        <w:br/>
        <w:t xml:space="preserve">178 Information available on the website: https://www.empresia.es/empresa/edp-renovables-espana/,  </w:t>
        <w:br/>
        <w:t xml:space="preserve">https://www.boe.es/borme/dias/2014/03/10/pdfs/BORME-A-2014-47-33.pdf  </w:t>
        <w:br/>
        <w:t xml:space="preserve">179 Information available on the BORME website:  </w:t>
        <w:br/>
        <w:t xml:space="preserve">https://boe.es/borme/dias/2017/08/10/pdfs/BORME-C-2017-7376.pdf  </w:t>
        <w:br/>
        <w:t xml:space="preserve">180 Information available on the website https://www.empresia.es/persona/lopez-lahera-javier/#google_vignette and in the Informa database, incorporated into the reference file (folios 1667 and 1650). The shared registered office is located at Avenida Burgos (Ed I), 89, 28050 Madrid.  </w:t>
        <w:br/>
        <w:t xml:space="preserve">181 Information provided by ALFOZ in response to an information request made by the Competition Directorate (folio 47) corroborated by information available on the website  </w:t>
        <w:br/>
        <w:t xml:space="preserve">https://www.empresia.es/persona/rivera-vizcarrondo-javier/ as well as in the BORME  </w:t>
        <w:br/>
        <w:t xml:space="preserve">https://www.boe.es/borme/dias/2021/03/30/pdfs/BORME-A-2021-60-33.pdf  </w:t>
        <w:br/>
        <w:t xml:space="preserve">Comisión Nacional de los Mercados y la Competencia 55 de 109  </w:t>
        <w:br/>
        <w:t xml:space="preserve">C/ Alcalá, 47 – 28014 Madrid - C/ Bolivia, 56 – 08018 Barcelona  </w:t>
        <w:br/>
        <w:t>www.cnmc.es</w:t>
      </w:r>
    </w:p>
    <w:p>
      <w:r>
        <w:t xml:space="preserve">S/0011/23  </w:t>
        <w:br/>
        <w:t xml:space="preserve">EÓLICA DE ALFOZ  </w:t>
        <w:br/>
        <w:t xml:space="preserve">• was a representative of Eólica de Campollano (which is 75% owned by EDPR182), until November 15, 2022,183 a company that also shares the same registered office as ALFOZ184;  </w:t>
        <w:br/>
        <w:t xml:space="preserve">• is the financial director, joint representative, and joint administrator of EDP RENEWABLES EUROPE185 (a company belonging to the EDP group) which holds the presidency of Eólica de Campollano;  </w:t>
        <w:br/>
        <w:t xml:space="preserve">• is a representative186 of RENOVAVEIS SERVICIOS FINANCIEROS, S.A. (also a company of the EDP group, 70% owned by EDP RENOVAVEIS, S.A. and 20% by EDP RENEWABLES EUROPE), with its registered office at the same location as BETA187;  </w:t>
        <w:br/>
        <w:t xml:space="preserve">• is a joint representative and joint administrator of BETA188.  </w:t>
        <w:br/>
        <w:t xml:space="preserve">(228) Another joint and solidary representative of ALFOZ and BETA is, in turn, a joint and solidary representative of EDP RENEWABLE EUROPE, EDP RENOVAVEIS SERVICIOS FINANCIEROS, S.A., as well as of EDP RENOVAVEIS, S.A.189.  </w:t>
        <w:br/>
        <w:t xml:space="preserve">(229) Two joint representatives of ALFOZ are, in turn, representatives and representatives of EÓLICA DE CAMPOLLANO, S.A., and joint representatives of EDPR190.  </w:t>
        <w:br/>
        <w:t xml:space="preserve">(230) Both EDP RENEWABLES EUROPE, S.L., and EDP RENOVAVEIS, S.A., and EDP RENOVAVEIS SERVICIOS FINANCIEROS, S.A., (companies of the EDP group) share the same registered office as BETA191.  </w:t>
        <w:br/>
        <w:t xml:space="preserve">(231) BETA and EDPR had the same registered office prior to the resolution date of the access conflict CFT/DE/163/19 (September 22, 2021)192.  </w:t>
        <w:br/>
        <w:t xml:space="preserve">182 Information available in the Informa database and incorporated into the file (folio 1667).  </w:t>
        <w:br/>
        <w:t xml:space="preserve">183 Information available on the page https://www.boe.es/borme/dias/2022/11/22/pdfs/BORME-A-2022-222-28.pdf  </w:t>
        <w:br/>
        <w:t xml:space="preserve">184 Information available on the website https://www.empresia.es/persona/rivera-vizcarrondo-javier/, in the Informa database, incorporated into the reference file (folio 1650).  </w:t>
        <w:br/>
        <w:t xml:space="preserve">185 Information available in the Informa database, incorporated into the reference file (folio 1586).  </w:t>
        <w:br/>
        <w:t xml:space="preserve">186 Information available on the website: https://www.empresia.es/persona/rivera-vizcarrondo-javier/evento/12676873/  </w:t>
        <w:br/>
        <w:t xml:space="preserve">187 Information available in the Informa database, incorporated into the reference file (folios 1600 to 1622).  </w:t>
        <w:br/>
        <w:t xml:space="preserve">188 Information available on the website: then BORME-A-2018-193-33.pdf and now BORME-A-2021-30-33.pdf.  </w:t>
        <w:br/>
        <w:t xml:space="preserve">189 Information available on the website: https://librebor.me/borme/persona/mendez-villaamil-menendez-marta/  </w:t>
        <w:br/>
        <w:t xml:space="preserve">190 Information available on the website: https://librebor.me/borme/persona/martin-brieskorn-natalia/ and  </w:t>
        <w:br/>
        <w:t xml:space="preserve">Information available on the website: https://librebor.me/borme/persona/garcia-perez-eduardo/  </w:t>
        <w:br/>
        <w:t xml:space="preserve">191 Information available in the Informa database, incorporated into the file (folios 889, 1568, 1600, 1623, and 1678). All of them are registered at number 2 Plaza del Fresno (formerly Plaza de la Gesta), in Oviedo.  </w:t>
        <w:br/>
        <w:t xml:space="preserve">192 Information available in the Informa database, incorporated into the file (folios 889, 905, 1678, and 1707). Both shared a registered office at Calle Doctor Casal, 3-5 Oviedo.  </w:t>
        <w:br/>
        <w:t xml:space="preserve">Comisión Nacional de los Mercados y la Competencia 56 de 109  </w:t>
        <w:br/>
        <w:t xml:space="preserve">C/ Alcalá, 47 – 28014 Madrid - C/ Bolivia, 56 – 08018 Barcelona  </w:t>
        <w:br/>
        <w:t>www.cnmc.es</w:t>
      </w:r>
    </w:p>
    <w:p>
      <w:r>
        <w:t xml:space="preserve">S/0011/23  </w:t>
        <w:br/>
        <w:t xml:space="preserve">EÓLICA DE ALFOZ  </w:t>
        <w:br/>
        <w:t xml:space="preserve">(232) ALFOZ has the same telephone number as EDP RENEWABLES EUROPE, S.L., sole administrator and parent of EDPR and EDP RENOVAVEIS SERVICIOS FINANCIEROS, S.A193.  </w:t>
        <w:br/>
        <w:t xml:space="preserve">(233) ALFOZ has the same fax number as EDPR194, as well as that of its sole administrator RENEWABLES EUROPE, S.L., and its ultimate parent, EDP RENOVAVEIS, S.A. (www.edpr.com)195.  </w:t>
        <w:br/>
        <w:t xml:space="preserve">(234) Furthermore, throughout the entire access processing procedure in which the facts subject to this file are framed, REE always identified ALFOZ with EDP RENOVAVEIS, S.A., the ultimate parent of EDPR196. In fact, ALFOZ itself informed the DC that, under the contract between ALFOZ and EDPR, the company currently responsible for managing ALFOZ's functions as IUN at the Villimar 220 kV node is EDPR, through its projects department, without prejudice to the fact that at other times the functions attributable to the IUN have been carried out by other departments of EDPR197.  </w:t>
        <w:br/>
        <w:t xml:space="preserve">(235) In short, the structural and corporate relationships and, in particular, the presence of EDP Group executives in the management of ALFOZ and its parent BETA reflect that ALFOZ and the generation facility Terra - which competed for access to the Villimar 220 kV node - remained linked within the same business perimeter from the perspective of Competition Law following the shareholding modification of June 27, 2019, and throughout the entire period in which the investigated conduct took place.  </w:t>
        <w:br/>
        <w:t xml:space="preserve">(236) Additionally, in the response provided to an information request from the DC regarding its turnover, the billings obtained by ALFOZ from the generation of facilities owned or linked to it with connection to the network at the Villimar 220 kV node during the entire infringement period considered198 are reflected.  </w:t>
        <w:br/>
        <w:t xml:space="preserve">(237) The conclusion of the above is that it cannot be denied that ALFOZ had the dual condition of IUN of the Villimar 220 kV node and promoter (direct or indirect) of facilities connected to said node.  </w:t>
        <w:br/>
        <w:t xml:space="preserve">193 Information available in the Informa database, incorporated into the file (folios 909, 1568, and 1600).  </w:t>
        <w:br/>
        <w:t xml:space="preserve">194 Information available in the Informa database, incorporated into the file (folios 909 and 1678).  </w:t>
        <w:br/>
        <w:t xml:space="preserve">195 Information available in the Informa database, incorporated into the file (folios 909, 1568, 1623, and 1678).  </w:t>
        <w:br/>
        <w:t xml:space="preserve">196 In this regard, see the communication provided by REE in allegations to CFT/DE/163/19 (folio 592): Regarding your access request submitted on behalf of EÓLICA DEL ALFOZ, S.L. (EDP RENOVAVÉIS) for the connection of the generation facilities called "Parque Eólico CEREVIL, Parque Eólico TERRAE", to the VILLIMAR 220 KV transport substation (sic), we indicate the following observations whose correction is required […]”.  </w:t>
        <w:br/>
        <w:t xml:space="preserve">197 Information provided by ALFOZ in response to an information request made by the Competition Directorate (folios 127 and 128).  </w:t>
        <w:br/>
        <w:t xml:space="preserve">198 Information provided by ALFOZ itself in response to an information request from the DC (folio 1501).  </w:t>
        <w:br/>
        <w:t xml:space="preserve">Comisión Nacional de los Mercados y la Competencia 57 de 109  </w:t>
        <w:br/>
        <w:t xml:space="preserve">C/ Alcalá, 47 – 28014 Madrid - C/ Bolivia, 56 – 08018 Barcelona  </w:t>
        <w:br/>
        <w:t>www.cnmc.es</w:t>
      </w:r>
    </w:p>
    <w:p>
      <w:r>
        <w:rPr>
          <w:b/>
        </w:rPr>
        <w:t>[Pages 58–60]</w:t>
      </w:r>
    </w:p>
    <w:p>
      <w:r>
        <w:t xml:space="preserve">S/0011/23  </w:t>
        <w:br/>
        <w:t>EÓLICA DE ALFOZ</w:t>
      </w:r>
    </w:p>
    <w:p>
      <w:r>
        <w:t xml:space="preserve">5.5.1.2.3 Conclusion of the Chamber on the existence of a dominant position  </w:t>
        <w:br/>
        <w:t>(238) This Chamber considers it established that, at the time the facts subject to this file were carried out, ALFOZ held a dominant position in the market for access and connection to the electricity transmission network through the Villimar 220 kV node, in the sense of Article 2 of the LDC.</w:t>
      </w:r>
    </w:p>
    <w:p>
      <w:r>
        <w:t xml:space="preserve">5.5.2. On the abusive conduct of ALFOZ  </w:t>
        <w:br/>
        <w:t>(239) Once ALFOZ's dominant position in access and connection to the electricity transmission network through the Villimar 220 kV node has been determined, the second step is to determine whether ALFOZ's conduct constitutes an abuse in accordance with Article 2 of the LDC, that is, whether the assessment of the established facts allows us to conclude that it abused that dominant position by engaging in discriminatory and exclusionary treatment against its potential competitors in the processing of coordinated and joint access requests before REE.</w:t>
      </w:r>
    </w:p>
    <w:p>
      <w:r>
        <w:t xml:space="preserve">5.5.2.1. General principles of abuse  </w:t>
        <w:br/>
        <w:t xml:space="preserve">(240) Article 2 of the LDC mentions various commercial behaviors considered abusive, which do not constitute a closed catalog of abusive practices. Specifically, Article 2 of the LDC establishes that:  </w:t>
        <w:br/>
        <w:t xml:space="preserve">“1. The abusive exploitation by one or more companies of their dominant position in all or part of the national market is prohibited.  </w:t>
        <w:br/>
        <w:t xml:space="preserve">2. The abuse may consist, in particular, of:  </w:t>
        <w:br/>
        <w:t xml:space="preserve">a) The direct or indirect imposition of unfair prices or other commercial or service conditions.  </w:t>
        <w:br/>
        <w:t xml:space="preserve">b) The limitation of production, distribution, or technical development to the unjustified detriment of companies or consumers.  </w:t>
        <w:br/>
        <w:t xml:space="preserve">c) The unjustified refusal to satisfy demands for the purchase of products or the provision of services.  </w:t>
        <w:br/>
        <w:t xml:space="preserve">d) The application, in commercial or service relationships, of unequal conditions for equivalent services, placing some competitors at a disadvantage compared to others.  </w:t>
        <w:br/>
        <w:t>e) The subordination of the conclusion of contracts to the acceptance of supplementary services that, by their nature or according to trade practices, are not related to the object of those contracts.”</w:t>
      </w:r>
    </w:p>
    <w:p>
      <w:r>
        <w:t>(241) According to the jurisprudence of the EU —whose criteria and interpretative principles of the articles of the TFEU are applicable to the interpretation of national regulations when this is the only applicable one, as is the case in the present file where only Article 2 of the LDC applies— there are two key elements in the definition of the abuse of a dominant position. On the one hand, the “means of normal competition” defined in the judgment of the CJEU of February 13, 1979 and, on the other, the “special responsibility” that falls on the dominant company consisting of “not hindering, through its behavior, the development of effective and undistorted competition in the common market.”</w:t>
      </w:r>
    </w:p>
    <w:p>
      <w:r>
        <w:t>(242) At the national level, the Supreme Court has defined the abuse of a dominant position as “a singular modality of abuse of right; a qualified type of this, which, based on the privileged economic freedom enjoyed by the dominant company, exceeds the normal limits of the exercise of the right to obtain advantages from transactions, lacking justification, that it could not have obtained in the case of practicable and sufficiently effective competition, directly harming the interests of third parties or the general interest that the competition defense system addresses. It is, in short, an antisocial exercise of the exceptional economic freedom granted by a dominant position in the market.”</w:t>
      </w:r>
    </w:p>
    <w:p>
      <w:r>
        <w:t xml:space="preserve">(243) The Supreme Court has pointed out, however, that “not every restriction in the competitive structure of the market made from a dominant position will deserve to be qualified as abusive exploitation” but only that conduct which lacks objective justification and limits or prevents the entry of competitors. Indeed, as noted by the CJEU judgment of May 12, 2022:  </w:t>
        <w:br/>
        <w:t>“When a competition authority verifies that a practice carried out by a company occupying a dominant position may undermine effective and undistorted competition in the internal market, that company can still demonstrate, so that it is not considered that such practice constitutes an abusive exploitation of the dominant position, that it is or was objectively justified, either by certain circumstances of the case at hand, which must be, in particular, external to the company in question (see, in this sense, the judgment of February 17, 2011, TeliaSonera Sverige, C-52/09, EU:C:2011:83, paragraphs 31 and 75), or, given the objective effectively pursued by Article 102 TFEU, by the interest of consumers.”</w:t>
      </w:r>
    </w:p>
    <w:p>
      <w:r>
        <w:t xml:space="preserve">(244) On the other hand, as the CJEU has recently reiterated, the dominant company has the right to defend its interests, but at the same time, the special responsibility not to harm effective competition in the market (emphasis added):  </w:t>
        <w:br/>
        <w:t>“[…] the existence of a dominant position does not deprive a company in that position of the right to protect its own commercial interests when these are attacked, nor of the ability, to a reasonable extent, to carry out the acts it deems appropriate to protect those interests (judgment of February 14, 1978, United Brands and United Brands Continental/Commission, 27/76, EU:C:1978:22, paragraph 189). […]. However, such conduct is not permissible when its purpose is, precisely, to reinforce the dominant position of its author and to abuse it (see, in this sense, the judgment of February 14, 1978, United Brands and United Brands Continental/Commission, 27/76, EU:C:1978:22, paragraph 189). Indeed, the company occupying a dominant position bears a special responsibility, that of not harming, through its conduct, effective and undistorted competition in the internal market.”</w:t>
      </w:r>
    </w:p>
    <w:p>
      <w:r>
        <w:t xml:space="preserve">(245) This special responsibility that weighs on a dominant company must be assessed in light of the specific circumstances of each case that demonstrate that competition is weakened, as confirmed by the CJEU in the Google Shopping Case:  </w:t>
        <w:br/>
        <w:t>“165. Moreover, the material scope of the special responsibility that weighs on a dominant company must be assessed in light of the specific circumstances of each case that demonstrate that the competition is weakened.”</w:t>
      </w:r>
    </w:p>
    <w:p>
      <w:r>
        <w:rPr>
          <w:b/>
        </w:rPr>
        <w:t>[Pages 61–63]</w:t>
      </w:r>
    </w:p>
    <w:p>
      <w:r>
        <w:t xml:space="preserve">S/0011/23  </w:t>
        <w:br/>
        <w:t>EÓLICA DE ALFOZ</w:t>
      </w:r>
    </w:p>
    <w:p>
      <w:r>
        <w:t xml:space="preserve">competition is weakened (see, in this regard, the judgment of February 17, 2011, TeliaSonera Sverige, C-52/09, EU:C:2011:83, paragraph 84 and cited case law)”.  </w:t>
        <w:br/>
        <w:t xml:space="preserve">(246) On the other hand, it should be noted that Article 2.3 of the LDC provides that the prohibition of abuse of a dominant position shall also apply “in cases where the dominant position in the market of one or more companies has been established by legal provision”, as is the case here, according to what is stated in the section dedicated to determining ALFOZ's dominant position.  </w:t>
        <w:br/>
        <w:t xml:space="preserve">(247) Specifically, in relation to regulated sectors, several national precedents in the well-known Céntrica cases determined that the existence of an administrative privilege derived from regulation208 can lead to a dominant position and that, in the event of abuse, it may constitute a violation of Article 2 of the LDC209:  </w:t>
        <w:br/>
        <w:t xml:space="preserve">“In this case, the seriousness of the infringement is undeniable. Both national and community authorities have shown their commitment to promoting competition in the market for a basic good, such as electricity, which is an input for most economic activities. To this end, it is evident that the legislator has sought to eliminate barriers to the entry of new marketers and to ensure non-discriminatory treatment towards them by vertically integrated operators. ENDESA's conduct frustrates the legislator's efforts. By taking advantage of the dominant position conferred by the legal monopoly it holds over the distribution network, it has committed an abuse that was intended and capable of hindering the entry of new competitors. It has also challenged the principle of non-discrimination, acting at least in a non-neutral manner towards its competitors, at a time when the liberalization process was still incipient and information about customers was key. Both infringements must be assessed together, as they serve the same purpose of preserving ENDESA's position by making it difficult for customers to enter the free market, particularly to the detriment of its competitors.”  </w:t>
        <w:br/>
        <w:t xml:space="preserve">(248) Finally, as numerous EU case law refers, the abusive exploitation of a dominant position prohibited by Article 102 TFEU (and, therefore, Article 2 of the LDC) is an objective concept210, which does not prevent taking into account the intent when it is proven that the dominant operator had the specific objective of hindering competition, as established by the judgment of the CJEU of March 16, 2000211.  </w:t>
        <w:br/>
        <w:t xml:space="preserve">5.5.2.1.1. Discriminatory Abuse  </w:t>
        <w:br/>
        <w:t xml:space="preserve">(249) Regarding the type of abuse raised in this case, it is necessary to analyze whether ALFOZ, in its capacity as IUN of a node of the electricity transmission network, made use of the exclusive powers granted by sectoral regulations to discriminate against competing promoters, generating a competitive disadvantage for them.  </w:t>
        <w:br/>
        <w:t xml:space="preserve">(250) This type of abuse is expressly included in Article 2.2. letter d) of the LDC which, in terms very similar to Article 102 letter c of the TFEU212, provides that the abuse may consist, in particular, of “d) The application, in commercial or service relationships, of unequal conditions for equivalent services, placing some competitors at a disadvantage compared to others.”  </w:t>
        <w:br/>
        <w:t xml:space="preserve">(251) In reference to Article 102 letter c of the TFEU, community case law has established the constitutive elements of this discriminatory abuse, also included in letter d) of Article 2.2 of the LDC: “equivalent services”, “unequal conditions” and “competitive disadvantage”.  </w:t>
        <w:br/>
        <w:t xml:space="preserve">a) Equivalent Services  </w:t>
        <w:br/>
        <w:t xml:space="preserve">(252) The first of the elements “equivalent services” must be evaluated taking into account all the circumstances of the case and not solely from the perspective of the dominant company. This was pointed out by the decision of the authority responsible for interpreting Article 60 of the now-defunct Treaty of the European Community of Coal and Steel, which stated that:213  </w:t>
        <w:br/>
        <w:t xml:space="preserve">“(...) for transactions to be comparable, it is also necessary that they refer to the same products or to equivalent products and that they do not differ significantly in relation to the particular characteristics considered decisive in commercial operations (...)”  </w:t>
        <w:br/>
        <w:t xml:space="preserve">(253) Therefore, a first requirement for considering the services as equivalent is that the compared products or services are similar in a physical or functional sense214, without needing to be identical, as long as the essence is maintained; they also need to have a comparable commercial context215, and a temporal proximity216.  </w:t>
        <w:br/>
        <w:t xml:space="preserve">(254) In relation to the comparable nature of different situations, the jurisprudence of the Union has determined that: “The elements that characterize different situations and, thus, their comparable nature, must be assessed, in particular, in light of the object and purpose of the community act that establishes the distinction in question. Furthermore, the principles and objectives of the area to which the act in question belongs must be taken into account”217.  </w:t>
        <w:br/>
        <w:t xml:space="preserve">b) Unequal Conditions  </w:t>
        <w:br/>
        <w:t xml:space="preserve">(255) The second of the elements for considering that the conduct constitutes a discriminatory abuse requires that the dominant company applies “unequal conditions” to these equivalent services. The assessment of the inequality between the conditions applied by the dominant entity must be based on a comparison of the fundamental elements of the equivalent transactions.  </w:t>
        <w:br/>
        <w:t xml:space="preserve">c) Competitive Disadvantage  </w:t>
        <w:br/>
        <w:t xml:space="preserve">(256) The third and final element required by Article 2.2.d) of the LDC is the “competitive disadvantage” that this discriminatory treatment creates, being necessary218 that the parties have a competitive relationship between them219.  </w:t>
        <w:br/>
        <w:t xml:space="preserve">215 See Judgments of the Court of First Instance of December 17, 2003, British Airways plc v Commission T-219/99, ECLI:EU: T:2003:343, ECR II-5917 appeal of March 15, 2007 British Airways plc v Commission C-95/04 P ECLI:EU:C:2007:166; and Judgment of the Court of Justice of December 11, 2008 Kanal 5 Ltd and TV 4 AB v Föreningen Svenska Tonsättares Internationella Musikbyrå (STIM), C-52/07, ECLI:EU:C:2008:703.  </w:t>
        <w:br/>
        <w:t xml:space="preserve">216 Conclusions of the Advocate General in the case, MEO—Serviços de Comunicações e Multimédia SA v Autoridade da Concorrência, C-525/16, EU:C:2017:1020, paragraph 57.  </w:t>
        <w:br/>
        <w:t xml:space="preserve">217 Judgment of the Court of First Instance of September 17, 2007, Microsoft v Commission, T 201/04. EU: T: 2007:289, paragraphs 208, 388, 390, 421 and of the General Court of November 10, 2021, Google LLC and Alphabet, In v Commission T 612/17, ECLI:EU: T:2021:763, paragraphs 155 and following. As well as Judgments of the Court of Justice of October 27, 1971 Rheinmühlen Düsseldorf, 6/71, ECLI:EU:C:1971:100, paragraph 14; of October 19, 1977, Ruckdeschel and others, 117/76 and 16/77, ECLI:EU:C:1977:160, paragraph 8; of October 5, 1994, Germany/Council, C 280/93, ECLI:EU:C:1994:367, paragraph 74; as well as of March 10, 1998, T. Port, C 364/95 and C 365/95, ECLI:EU:C:1998:95, paragraph 83.  </w:t>
        <w:br/>
        <w:t xml:space="preserve">218 While initially community precedents required that the dominant party and the one at a disadvantage compete with each other and the competitive obstacle for the disadvantaged party had to be examined in the market for which the acquired goods/services are used, case Kanal 5 Ltd and TV 4 AB v Föreningen Svenska Tonsättares Internationella Musikbyrå (STIM) upa. [2008] ECR I-9275 C-52/07, ECLI:EU:C:2008:491, after the case MEO—Serviços de Comunicações e Multimédia SA v Autoridade da Concorrência, C-525/16, EU:C:2017:1020 paragraph 69 “(...) a rigorous application of this provision requires, on the one hand, to verify whether there is a competitive relationship between the business partners of the dominant company and, on the other hand, to demonstrate that the behavior of that company can distort competition between the affected companies in the specific case”.  </w:t>
        <w:br/>
        <w:t>219 Judgment of the Court of Justice of December 11, 2008 Kanal 5 Ltd and TV4 Av C—52/07, ECLI:EU:C:2008:703, paragraph 48, as well as conclusions of the Advocate General in that case ECLI:EU:C:2008:491, paragraphs 109 to 114.</w:t>
      </w:r>
    </w:p>
    <w:p>
      <w:r>
        <w:rPr>
          <w:b/>
        </w:rPr>
        <w:t>[Pages 64–66]</w:t>
      </w:r>
    </w:p>
    <w:p>
      <w:r>
        <w:t xml:space="preserve">S/0011/23  </w:t>
        <w:br/>
        <w:t>EÓLICA DE ALFOZ</w:t>
      </w:r>
    </w:p>
    <w:p>
      <w:r>
        <w:t xml:space="preserve">To determine that the differences in treatment by the dominant company constitute an infringement of competition law, the jurisprudence of the Union has been requiring that such unequal treatment has sufficient capacity to generate that competitive disadvantage and, more specifically, that, in light of the specific circumstances and the extent of the differentiated treatment, a significant impact on its competitive position occurs220.  </w:t>
        <w:br/>
        <w:t xml:space="preserve">(257) In any case, as indicated by the EU jurisprudence above, it is not about preventing a company from achieving a dominant position through its merits that displaces less efficient competitors, nor maintaining the permanence in the market of the latter221, but rather that it is carried out from the perspective of the principle of equality. As a general principle of Union Law, the principle of equality has been recognized by community jurisprudence requiring222 "that comparable situations are not treated differently and that different situations are not treated identically, unless such treatment is objectively justified" [...] The violation of the principle of equal treatment due to different treatment implies that the situations in question are comparable, taking into account the set of elements that characterize them.  </w:t>
        <w:br/>
        <w:t xml:space="preserve">(258) The provision of exclusive rights granted by legal imperative, such as those involved in the figure of the IUN, has been analyzed by the ruling of the EU Court in Case C-377/20 Servizio Electrico Nazionale SpA when referring to the exercise that must be carried out by the company that holds exclusive rights in order to protect the principle of non-discrimination, avoiding favoring its own facilities over those of its competitors: (emphasis added):  </w:t>
        <w:br/>
        <w:t xml:space="preserve">“91. […] it is appropriate to recall that it should be considered that the fact that a company that holds exclusive rights, such as a legal monopoly, uses these rights to expand the dominant position it occupies in a market thanks to those rights over another market constitutes an exploitation of resources that are, in principle, inaccessible to a hypothetical equally efficient competitor, but that does not occupy a dominant position. […]”223.  </w:t>
        <w:br/>
        <w:t xml:space="preserve">(259) Regarding national jurisprudence, the ruling of October 21, 2021, of the Audiencia Nacional confirmed the existence of an abuse of dominant position consisting of the commercial discrimination of the traction services offered by the dominant operator to certain operators under privileged and preferential conditions:  </w:t>
        <w:br/>
        <w:t xml:space="preserve">“The CNMC includes in the sanctioning resolution the reasons that justify the imputation and sanction under Article 2 by stating: Such abuse has materialized in the commercial discrimination against third railway operators (particularly against the members of the AEFP) in their offer of railway traction services for the transport of goods in Spain, in relation to the conditions agreed with the companies TRANSFESA, PIF, HISPANAAUTO, and DB SR DEUTSCHLAND.  </w:t>
        <w:br/>
        <w:t xml:space="preserve">The agreements signed by RENFE with DB SR DEUTSCHLAND, TRANSFESA, PIF, and HISPANAUTO regarding railway traction services contain the following discriminatory commercial conditions with respect to third traction applicants”224.  </w:t>
        <w:br/>
        <w:t xml:space="preserve">5.5.2.1.2. Exclusionary Abuse  </w:t>
        <w:br/>
        <w:t xml:space="preserve">(260) According to recent EU jurisprudence, to determine whether the conduct carried out by a company in a dominant position constitutes an "exclusionary abuse," it must meet two requirements: a) have the capacity to exclude potential or actual competitors; b) not respond to merit-based competition225.  </w:t>
        <w:br/>
        <w:t xml:space="preserve">5.5.2.1.2.1. Capacity to Exclude Potential or Actual Competitors  </w:t>
        <w:br/>
        <w:t xml:space="preserve">(261) The capacity to exclude referred to in Article 102(b) TFEU and by extension in Article 2(b) LDC, refers to the ability to exclude equally efficient competitors as the dominant company226, by establishing barriers to entry or other blocking measures or by means other than those governing merit-based competition. This capacity to exclude must include "all situations that can lead to a reduction of the current or potential capacity of competitors or the incentive to exert competitive pressure on the dominant company."  </w:t>
        <w:br/>
        <w:t xml:space="preserve">(262) In this sense, it will be sufficient for the conduct to have at least the potential capacity to restrict competition and, in particular, to produce the expulsion of actual or potential competitors from the market attributed to it227. This includes a variety of exclusions or marginalizations of competitors, such as the increase of entry barriers or expansion228, the difficulty or elimination of effective access to markets229, or the imposition of limitations on the potential growth of competitors230.  </w:t>
        <w:br/>
        <w:t xml:space="preserve">(263) EU jurisprudence has established that the capacity of a practice to exclude actual or potential competitors must be based on the totality of the facts and circumstances prevailing when the practice was carried out, as it must be evaluated at the time it was performed, although the possible actual effects of expulsion may materialize later231.  </w:t>
        <w:br/>
        <w:t xml:space="preserve">(264) The totality of the facts and circumstances that must be taken into account to analyze the exclusionary capacity of practices depends on each specific case, but must assess, among others, the position of the dominant company232; the conditions of the relevant market; or the position of the competitors of the dominant company233.  </w:t>
        <w:br/>
        <w:t xml:space="preserve">228 Judgment of the Court of Justice of May 12, 2022, Servizio Electrico Nazionale SpA, C-377/20, ECLI:EU:C:2022:379, paragraph 68 “this concept designates any practice that may undermine, through resources other than those governing normal competition, an effective competition structure…”.  </w:t>
        <w:br/>
        <w:t xml:space="preserve">229 Judgment of the Court of Justice of May 12, 2022, Servizio Electrico Nazionale SpA, C-377/20, ECLI:EU:C:2022:379, paragraph 68 “(…), this concept designates any practice that may undermine, through resources other than those governing normal competition, an effective competition structure. It thus aims to sanction the activities of a company in a dominant position that, in a market where, precisely due to the presence of the company in question, the intensity of competition is already weakened, produce the effect of hindering, by means other than those governing normal competition of products or services according to the performance of economic agents, the maintenance of the level of competition that still exists in the market or the development of that competition (judgments of February 13, 1979, Hoffmann-La Roche/Commission, 85/76, EU:C:1979:36, paragraph 91, and March 25, 2021, Deutsche Telekom/Commission, C‑152/19 P, EU:C:2021:238, paragraph 41)”.  </w:t>
        <w:br/>
        <w:t xml:space="preserve">230 Judgment of the Court of First Instance of October 8, 1996, Compagnie maritime belge transports SA and Compagnie maritime belge SA, Dafra-Lines A/S, Deutsche Afrika-Linien GmbH &amp; Co. and Nedlloyd Lijnen BV vs. Commission, T 24/93, T-25/93, T-26/93 and T-28/93. ECLI:EU:T:1996:139, paragraph 149: “when one or more companies in a dominant position effectively apply a practice aimed at eliminating a competitor, the fact that the expected result was not achieved cannot be sufficient to rule out the qualification of abuse of dominant position for the purposes of Article 86 of the Treaty” and in the same sense, judgment of the Court of First Instance of December 17, 2003, British Airways vs. Commission, T-219/99 P, ECLI:EU:T:2003:343, paragraphs 297 and 298.  </w:t>
        <w:br/>
        <w:t xml:space="preserve">231 Judgment of the Court of Justice of December 6, 2012, AstraZeneca v Commission, Case C-457/10 P, EU:C:2012:770, paragraph 110.  </w:t>
        <w:br/>
        <w:t xml:space="preserve">232 Judgment of the General Court of November 10, 2021, Google LLC, formerly Google Inc. and Alphabet, Inc. against European Commission T-612/17, ECLI:EU:T:2021:763, paragraph 183: “given its ‘super-dominant’ position, its role as a gateway to the Internet, and the strong barriers to entry in the general search market, it had a reinforced obligation not to impede, through its behavior, effective and undistorted competition in the associated market of specialized product comparison search.”  </w:t>
        <w:br/>
        <w:t>233 Judgment of the Court of Justice of May 12, 2022, Servizio Electrico Nazionale SpA, C-377/20, ECLI:EU:C:2022:379, paragraph 102: “it follows that, insofar as the abusive exploitation of a dominant position is assessed in light of the capacity of the contested conduct to produce exclusionary effects, and not in view of its concrete effects, (…). This assertion is not undermined.</w:t>
      </w:r>
    </w:p>
    <w:p>
      <w:r>
        <w:rPr>
          <w:b/>
        </w:rPr>
        <w:t>[Pages 67–69]</w:t>
      </w:r>
    </w:p>
    <w:p>
      <w:r>
        <w:t xml:space="preserve">S/0011/23  </w:t>
        <w:br/>
        <w:t>EÓLICA DE ALFOZ</w:t>
      </w:r>
    </w:p>
    <w:p>
      <w:r>
        <w:t xml:space="preserve">5.5.2.1.2.2. Practices that do not respond to merit-based competition  </w:t>
        <w:br/>
        <w:t xml:space="preserve">(265) The jurisprudence of the Union has understood that the abuse contemplated by Article 102 of the TFEU involves the behavior "of an undertaking in a dominant position which, to the detriment of consumers, has the effect of hindering, by means other than those governing normal competition based on the merits of economic operators, the maintenance of the degree of competition existing in the market or the development of such competition" (emphasis added)234.  </w:t>
        <w:br/>
        <w:t xml:space="preserve">(266) Similarly, the jurisprudence of the Union has recently indicated that "the concept of merit-based competition refers, in principle, to a competitive situation from which consumers benefit through lower prices, better quality, and a wider range of new or more efficient goods and services"235.  </w:t>
        <w:br/>
        <w:t xml:space="preserve">(267) The preferential treatment granted by a dominant company to its products or services may represent an exclusionary abuse contrary to Article 102 TFEU and 2 LDC when the dominant company leverages its dominant position in a given market to gain an advantage in a related market through preferential treatment of its own products and/or services.  </w:t>
        <w:br/>
        <w:t xml:space="preserve">(268) The leveraging relationship236 between two markets by the dominant operator can occur in different scenarios: through the establishment of a vertical relationship between the two markets; when the competitors of the dominant operator in that market are potential or actual competitors in the related market; or when those markets are part of the same value chain.  </w:t>
        <w:br/>
        <w:t xml:space="preserve">(269) The preferential treatment that the dominant operator grants to its products and/or services may consist, among other things, of better positioning of its product in the related market237, manipulation of consumer behavior or choice; or manipulation of auctions.  </w:t>
        <w:br/>
        <w:t>(270) In this regard, the jurisprudence of the EU has established that the practice of a dominant operator providing preferential treatment to its products is not merit-based competition when such treatment occurs in a market that constitutes an important source of business for competitors in the related market, which cannot effectively replace or substitute it by other means238.</w:t>
      </w:r>
    </w:p>
    <w:p>
      <w:r>
        <w:t xml:space="preserve">5.5.2.2. Application to the case: abuse by ALFOZ  </w:t>
        <w:br/>
        <w:t xml:space="preserve">5.5.2.2.1. Discriminatory abuse  </w:t>
        <w:br/>
        <w:t xml:space="preserve">(271) It is appropriate to first address whether ALFOZ's conduct meets the necessary elements to be classified as discriminatory abuse, in the terms set forth by Article 2.2.d) of the LDC:  </w:t>
        <w:br/>
        <w:t xml:space="preserve">a) Equivalent performances  </w:t>
        <w:br/>
        <w:t xml:space="preserve">(272) The requests for access to the electricity transmission network submitted by different promoters to the IUN can be considered similar, not differing in essence, since, as indicated in the section Access Procedure to the node 3.1.1.3 of this resolution, they must comply with the same technical, economic (submission of guarantees), and administrative procedures, and furthermore, they are carried out in the same product and geographical market239, the market for access and connection to the transmission network at the Villimar 220 kV node, with effects in the related market of electricity generation.  </w:t>
        <w:br/>
        <w:t xml:space="preserve">(273) Therefore, the requests for access to the network of facilities linked to GLOBAL SHAULA, ALFOZ, or other third-party promoters (direct or indirect) are equivalent, substitutable, and close in time, in this comparable commercial context240.  </w:t>
        <w:br/>
        <w:t xml:space="preserve">(274) Regarding this equivalent nature, as reflected in the proven facts, and expressly established by the SSR in the Resolution of September 22, 2021, on July 16, 2019, the request for access to the Villimar 220 kV node by GLOBAL SHAULA could be considered complete according to the access criteria and should have been part of the SCA of August 2, 2019, which was sent to REE after the corrections of the requests submitted by ALFOZ on March 21 and 27, 2019, for the three wind farms and in the pre-existing position241.  </w:t>
        <w:br/>
        <w:t xml:space="preserve">(275) Indeed, as pointed out in paragraph (125) of the section of Accredited Facts, when on June 16, 2019, GLOBAL SHAULA submitted its request to ALFOZ, its obligations regarding guarantees were fulfilled, and the subsequent requests for correction and clarification made by ALFOZ were unnecessary. In this regard, the resolution of the SSR of September 22, 2021, in File CFT/DE/163/19 expressly states that: "as has been demonstrated, GLOBAL SHAULA correctly submitted its request on July 16, 2019, and it was subject to unjustified delays by the IUN."  </w:t>
        <w:br/>
        <w:t xml:space="preserve">(276) It is worth emphasizing at this point that the aforementioned resolution of the SSR, from which this sanctioning file originates, has not been challenged in contentious-administrative proceedings by ALFOZ and has become final, regarding the facts. The only appeal against the aforementioned Resolution of September 22, 2021, was filed by a third party, GREEN CAPITAL POWER, S.L, and its object does not question the factual account that said Resolution attributes to ALFOZ in its capacity as IUN of the Villimar 220 kV node.  </w:t>
        <w:br/>
        <w:t xml:space="preserve">b) Unequal conditions  </w:t>
        <w:br/>
        <w:t xml:space="preserve">(277) Since its creation, the high level of conflict caused by the actions of the IUN has allowed the Energy Directorate to identify three types of conduct in which the IUN acts with total autonomy from the other promoters from the dominant position conferred by this status as a necessary processor242.  </w:t>
        <w:br/>
        <w:t xml:space="preserve">(278) A first type in which the IUN has arrogated a competence that does not correspond to it: that of analyzing the access requests received. In these cases, the IUN has required the correction of the documentation submitted with the individual request by the different promoters, deliberately delaying the forwarding of said request to REE as part of an SCA.  </w:t>
        <w:br/>
        <w:t xml:space="preserve">(279) A second, more common type, in which the IUN has not processed or has deliberately withdrawn the request of another promoter, in order to exclude it from a  </w:t>
        <w:br/>
        <w:t xml:space="preserve">241 Information provided by REE, in response to a request for information made by the Competition Directorate (pages 1289 to 1299): as well as in allegations: exchange of emails between REE and ALFOZ (July 10 and August 2) Subject: RE: Request for correction for your access request EÓLICA DEL ALFOZ, S.L. (EDP RENOVAVÉIS) _VILLIMAR 220 KV, incorporated into the file (pages 593 and 664 to 710 respectively).  </w:t>
        <w:br/>
        <w:t>242 Legal report dated November 4, 2019, sent by the Energy Directorate at the request of the Competition Directorate in file S/0022/20 ENEL GREEN POWER ESPAÑA and incorporated into the reference file (pages 955 to 966).</w:t>
      </w:r>
    </w:p>
    <w:p>
      <w:r>
        <w:rPr>
          <w:b/>
        </w:rPr>
        <w:t>[Pages 70–72]</w:t>
      </w:r>
    </w:p>
    <w:p>
      <w:r>
        <w:t xml:space="preserve">S/0011/23  </w:t>
        <w:br/>
        <w:t>EÓLICA DE ALFOZ</w:t>
      </w:r>
    </w:p>
    <w:p>
      <w:r>
        <w:t xml:space="preserve">a coordinated access request, which does include the facilities promoted by the IUN itself.  </w:t>
        <w:br/>
        <w:t xml:space="preserve">(280) And a third type, in which the IUN, upon knowing and/or promoting a modification of the planning that entails the opening of a new position, makes use of this privileged information to request access to the new, unplanned position, for its own benefit and to the detriment of third parties.  </w:t>
        <w:br/>
        <w:t xml:space="preserve">(281) From the established facts, it is evident that taking advantage of its position as IUN, ALFOZ made several unjustified requests for rectification to GLOBAL SHAULA, leaving it out of the SCA in order to exclude it from access to a capacity that it knew was scarce at the Villimar 220 kV node, as reflected in paragraphs (126), (130), (132), and (135) of this resolution.  </w:t>
        <w:br/>
        <w:t xml:space="preserve">(282) From the actions carried out by ALFOZ, in its dual capacity as IUN and indirect promoter of the Terrae installation, it is inferred that, taking advantage of the dominant position conferred by this condition, it violated the principle of temporal precedence in the configuration and submission of the SCA, applying unequal conditions to the request of GLOBAL SHAULA - submitted on July 16, 2019 (paragraph (125)) - which, like other projects whose requests were not considered complete until August 2, 2019 (paragraph (129)), aspired to access the same Villimar 220 kV node.  </w:t>
        <w:br/>
        <w:t xml:space="preserve">(283) The Resolution of the SSR of September 22, 2021, within the framework of CFT/DE/163/19, emphasized that ALFOZ's actions aimed, from the very beginning, to alter the validity of the principle of temporal precedence in the exercise of the right of access to the node of the electricity transmission network243:  </w:t>
        <w:br/>
        <w:t xml:space="preserve">“This first requirement of the IUN already seems somewhat superfluous insofar as a simple internal forwarding of the request would have rectified the deficiency noted due to the lack of identification of the responsible party. ALFOZ states in this regard that it acted in this way in order to 'maintain formality.' This assertion could be accepted if it had been the only delay in the processing. GLOBAL SHAULA rightly points out that the information about the IUN provided on the REE website identifies only the name of the company and the address of the IUN.”  </w:t>
        <w:br/>
        <w:t xml:space="preserve">(284) Likewise, the aforementioned Resolution of the SSR of the CNMC of September 22, 2021, stated that ALFOZ's subsequent conduct was also reproachable, carrying out obstructive actions regarding “superfluous issues that occur over time without legal support or any technical justification”244:  </w:t>
        <w:br/>
        <w:t xml:space="preserve">243 See the Resolution of the SSR of September 22, 2021, regarding the access conflict CFT/DE/163/19 (page 12).  </w:t>
        <w:br/>
        <w:t>244 See the Resolution of the SSR of September 22, 2021, regarding the access conflict CFT/DE/163/19 (pages 13 and 14).</w:t>
      </w:r>
    </w:p>
    <w:p>
      <w:r>
        <w:t xml:space="preserve">S/0011/23  </w:t>
        <w:br/>
        <w:t>EÓLICA DE ALFOZ</w:t>
      </w:r>
    </w:p>
    <w:p>
      <w:r>
        <w:t xml:space="preserve">“On September 2, 2019, ALFOZ sent an email to the applicant posing the following question: ‘(...) according to the single-line diagram, we understand that these parks would evacuate through an independent line to a new position in Villimar. Can you confirm this point?’ The question, which was raised a month after the acknowledgment of receipt of the request, was clarified by the applicant the next day through a phone conversation. That is, if it had been posed on August 1, it would have been resolved on the same day, not a month later.  </w:t>
        <w:br/>
        <w:t xml:space="preserve">- On September 12, 2019, GLOBAL SHAULA sent another email denouncing ALFOZ's inaction/delay.  </w:t>
        <w:br/>
        <w:t xml:space="preserve">- On September 16, 2019, ALFOZ raised interpretative doubts regarding GLOBAL SHAULA's request and additionally informed about the forecast of saturation of the node.  </w:t>
        <w:br/>
        <w:t xml:space="preserve">These doubts in no way, as GLOBAL SHAULA argues, are rectifications of the request. They are superfluous issues that occur over time without legal support or any technical justification and that the IUN could not under any circumstances make in its capacity as representative of the interested parties in access.  </w:t>
        <w:br/>
        <w:t xml:space="preserve">- Finally, on September 18, 2019, GLOBAL SHAULA stated that the attribution of the IUN is to forward the requests to REE; consequently, it urged ALFOZ once again to forward the request to REE. It added, regarding the forecast about the available capacity at the node, that it is not the IUN's competence but that of REE.  </w:t>
        <w:br/>
        <w:t xml:space="preserve">Indeed, considerations about capacity are exclusive to REE; in no case does it fall to the IUN to assess the potential saturation of the node.  </w:t>
        <w:br/>
        <w:t xml:space="preserve">- Finally, on September 20, 2019, a chain of emails occurred again, starting with a new request (location plan in georeferenced cad format) which, in no way, is a rectification of the request and could have been requested earlier. GLOBAL SHAULA addressed the request the same day and urged, once again, the forwarding of the request to REE.  </w:t>
        <w:br/>
        <w:t xml:space="preserve">From the analysis of the communications exchanged between ALFOZ and GLOBAL SHAULA, it can be concluded that ALFOZ's conduct is manifestly obstructive. From the first email demanding the forwarding to a specific party - easily rectifiable by ALFOZ itself - through the raising of improper and unnecessary doubts, accompanied by a succession of emails with a clear dilatory intent.”  </w:t>
        <w:br/>
        <w:t xml:space="preserve">(285) ALFOZ's requirement to GLOBAL SHAULA to forward its individual request submitted on July 16, 2019, to another person in its business group (paragraph (126)), knowing that the request was complete according to the applicable Action Criteria at that time245, was legally unjustified and only resulted in a non-existent temporal precedence,  </w:t>
        <w:br/>
        <w:t>245 Information provided by REE in response to a request for information made by the Directorate of Competition (pages 1289 to 1299).</w:t>
      </w:r>
    </w:p>
    <w:p>
      <w:r>
        <w:t xml:space="preserve">S/0011/23  </w:t>
        <w:br/>
        <w:t>EÓLICA DE ALFOZ</w:t>
      </w:r>
    </w:p>
    <w:p>
      <w:r>
        <w:t xml:space="preserve">given that its requests would not be considered complete until August 2, 2019. Hence the need to direct the different rectification requirements to GLOBAL SHAULA, assuming functions that corresponded to REE and in no case to the IUN246, which caused the delay in the submission date of access requests to the Villimar 220 kV node that were not linked to its business group.  </w:t>
        <w:br/>
        <w:t xml:space="preserve">(286) It can be concluded that ALFOZ applied unequal conditions in the treatment of the requests submitted by the competing promoter, GLOBAL SHAULA, compared to the request promoted by its business group, repeatedly making requests for rectification, without legal or objective justification that led to the exclusion of GLOBAL SHAULA's requests from the SCA and as a consequence of this, the denial of access to the transmission network through the Villimar 220 kV node.  </w:t>
        <w:br/>
        <w:t xml:space="preserve">c) Competitive Disadvantage  </w:t>
        <w:br/>
        <w:t xml:space="preserve">(287) As the Resolution of the SSR of September 22, 2021 itself warned247, this unequal treatment aimed to exclude GLOBAL SHAULA's facilities from access to the Villimar 220 kV node and, therefore, to create a competitive disadvantage.  </w:t>
        <w:br/>
        <w:t xml:space="preserve">(288) The facilities promoted by GLOBAL SHAULA and the Terrae installation, linked to ALFOZ, competed directly248 in the market for access to the electricity transmission network for the available capacity at the Villimar 220 kV node, and the discrimination carried out by ALFOZ, prioritizing its projects in the submitted SCA, generated a clear competitive disadvantage for GLOBAL SHAULA in that market and in the related electricity generation market.  </w:t>
        <w:br/>
        <w:t xml:space="preserve">(289) Had the access conflict not been presented to the Directorate of Energy of the CNMC, this competitive disadvantage would have definitively prevented GLOBAL SHAULA from accessing the electricity transmission network at the Villimar 220 kV Node249 or, at the very least, until a hypothetical  </w:t>
        <w:br/>
        <w:t xml:space="preserve">246 Information provided by REE in response to a request for information made by the Directorate of Competition (pages 1284 to 1288).  </w:t>
        <w:br/>
        <w:t xml:space="preserve">247 “If the IUN had forwarded GLOBAL SHAULA's request to REE without delaying it through the communications that have been exposed, it would have been registered by REE in a time window coinciding with the SCA submitted on August 2, 2019, and would undoubtedly have been part of the coordinated access request. (...it is appropriate to conclude that GLOBAL SHAULA met all the regulatory requirements that allowed it to integrate into the SCA that REE considered duly constituted on August 2, 2019, and that its exclusion was motivated by the IUN's unjustified delays)” Resolution of the SSR September 22, 2021, regarding the access conflict CFT/DE/163/19 (Pages 14 and 15).  </w:t>
        <w:br/>
        <w:t xml:space="preserve">248 Judgment of the Court of Justice of December 11, 2008, Kanal 5 Ltd and TV 4 AB v Föreningen Svenska Tonsättares Internationella Musikbyrå (STIM) C-52/07, ECLI:EU:C:2008:703, paragraphs 27, 43, 44, and 47.  </w:t>
        <w:br/>
        <w:t>249 Conclusions of Advocate General Ms. Juliane Kokott presented on February 23, 2006, British Airways plc v Commission [2007] ECR I-2331, C-95/04 P ECLI:EU:C:2006:133, paragraphs 124 and 125.</w:t>
      </w:r>
    </w:p>
    <w:p>
      <w:r>
        <w:rPr>
          <w:b/>
        </w:rPr>
        <w:t>[Pages 73–75]</w:t>
      </w:r>
    </w:p>
    <w:p>
      <w:r>
        <w:t xml:space="preserve">S/0011/23  </w:t>
        <w:br/>
        <w:t>EÓLICA DE ALFOZ</w:t>
      </w:r>
    </w:p>
    <w:p>
      <w:r>
        <w:t xml:space="preserve">expansion of the capacity of the node or the emergence of new capacity due to the cessation or reduction of activity of other facilities connected to it.  </w:t>
        <w:br/>
        <w:t xml:space="preserve">(290) As reflected in the established facts, and expressly stated in the Resolution of the SSR of the CNMC of September 22, 2021, ALFOZ exceeded its functions as IUN and provided discriminatory treatment by systematically excluding equivalent projects of GLOBAL SHAULA in the SCA for access to the node that was submitted to REE250.  </w:t>
        <w:br/>
        <w:t xml:space="preserve">(291) In this regard, the DC rebutted ALFOZ's argument in its allegations to the PCH that the inclusion of GLOBAL SHAULA's request in the joint processing with the other requests would have been contrary to the principle of equality and business merit, favoring GLOBAL SHAULA as a less diligent operator than others who submitted their requests earlier. This argument by ALFOZ is indeed refuted by the established facts which show that ALFOZ's request was the first that could be considered complete - since July 16, 2019 - while the others were not completed until August 2, 2019.  </w:t>
        <w:br/>
        <w:t xml:space="preserve">(292) All of the above allows us to consider it established that ALFOZ, in its capacity as IUN, carried out discriminatory treatment regarding the individual access request of a third competitor, GLOBAL SHAULA, which met the regulatory requirements and had requested individual access to REE in relation to the new position of the Villimar 220 kV node. This discrimination resulted in a significant competitive advantage for ALFOZ (and its business group) in that market, as well as in the vertically related market of electricity generation.  </w:t>
        <w:br/>
        <w:t xml:space="preserve">5.5.2.2.2. Exclusionary Abuse  </w:t>
        <w:br/>
        <w:t xml:space="preserve">(293) Next, it will be analyzed whether the practice carried out by ALFOZ in managing its role as IUN at the Villimar 220 kV node incurred in exclusionary abuse by having the capacity to expel actual or potential competitors from the market and not being based on merit-based competition.  </w:t>
        <w:br/>
        <w:t xml:space="preserve">5.5.2.2.2.1. Capacity to Exclude Potential or Actual Competitors and Specific Effects of the Analyzed Conduct  </w:t>
        <w:br/>
        <w:t xml:space="preserve">(294) As seen, ALFOZ did not process the individual access request of GLOBAL SHAULA nor did it include it in the SCA of August 2, 2019, until September 24, 2019, after “idly” requiring that the request be resent to another person with up to three requests for correction of its application, delaying its submission to REE. Thus, when it was able to evaluate said SCA, the capacity of the node had already been exhausted, a problem that could only be resolved with the acceptance by the CNMC of the access conflict presented by GLOBAL SHAULA.  </w:t>
        <w:br/>
        <w:t xml:space="preserve">(295) If there had not been the filing of an access conflict before the SSR of the CNMC, GLOBAL SHAULA's projects would not have been taken into account by REE given the exhaustion of the capacity of the Villimar 220 kV node with the previously submitted requests and would have been excluded from the market as noted in the Resolution of the SSR of September 22, 2021251:  </w:t>
        <w:br/>
        <w:t xml:space="preserve">“If the IUN had sent GLOBAL SHAULA's request to REE without delaying it through the communications that have been exposed, it would have been registered by REE in a time window coinciding with the SCA submitted on August 2, 2019, and would undoubtedly have been part of the coordinated access request.”  </w:t>
        <w:br/>
        <w:t xml:space="preserve">(296) Therefore, the non-inclusion of the individual access requests of GLOBAL SHAULA by ALFOZ in the SCA of August 2, 2019, not only had a potential effect of exclusion but effectively expelled the projects of its competitor from accessing the Villimar 220 kV node of the transmission network, materializing, in practice, that exclusionary effect.  </w:t>
        <w:br/>
        <w:t xml:space="preserve">5.5.2.2.2.2. Practices Not Based on Merit-Based Competition  </w:t>
        <w:br/>
        <w:t xml:space="preserve">(297) The fact that the submission of GLOBAL SHAULA's requests to the IUN was later than those of the other facilities competing for the IUN (including the Terrae facility linked to the IUN) does not allow us to assert that they were more competitive. The milestone that must be taken into account when establishing the criterion of temporal precedence (by which it can be justified that later requests may be excluded) is marked by the moment when the request is sent to the IUN in a complete manner. Well, as has been repeatedly stated, GLOBAL SHAULA's request was complete since July 16, 2019, that is, prior to the definitive correction of the other requests on August 2, 2019.  </w:t>
        <w:br/>
        <w:t xml:space="preserve">(298) Therefore, they were at least equivalent requests, and the differentiated treatment to which GLOBAL SHAULA's request was subjected by ALFOZ, delaying its submission to REE, is not objectively justified.  </w:t>
        <w:br/>
        <w:t xml:space="preserve">(299) It should be noted, additionally, that the proven facts not only do not reflect that GLOBAL SHAULA's actions in managing its requests were less meritorious than those of the others (and in particular the request of the Terrae facility linked to ALFOZ). On the contrary, GLOBAL SHAULA consistently demonstrated diligence and maintained a proactive attitude trying to ensure the success of its request, as reflected, among others, in the following behaviors:  </w:t>
        <w:br/>
        <w:t xml:space="preserve">• from the first submission of GLOBAL SHAULA's request to the IUN on July 16, 2019, it was complete (paragraph (125));  </w:t>
        <w:br/>
        <w:t xml:space="preserve">• GLOBAL SHAULA complied with ALFOZ's improper requirement to resend the request to another person in its same group on the same day it received it (paragraph (126));  </w:t>
        <w:br/>
        <w:t xml:space="preserve">• GLOBAL SHAULA contacted ALFOZ the day after receiving the email in which the IUN requested - again idly - additional clarifications about its request, to offer the pertinent explanations (paragraph (130));  </w:t>
        <w:br/>
        <w:t xml:space="preserve">• a few days after providing such explanations, GLOBAL SHAULA communicated with ALFOZ to inquire about the status of the processing of its request (paragraph (131));  </w:t>
        <w:br/>
        <w:t xml:space="preserve">• when the IUN subsequently raised new idle interpretative doubts regarding its request, GLOBAL SHAULA responded in just two days, urging ALFOZ to send its request to REE and reproaching them for exceeding their functions as IUN (paragraph (134));  </w:t>
        <w:br/>
        <w:t xml:space="preserve">• GLOBAL SHAULA responded, on the same day, to ALFOZ's last improper requirement before it sent its request to REE, on September 24, 2019, just as it had been received more than two months earlier (paragraphs (135) and (136)).  </w:t>
        <w:br/>
        <w:t xml:space="preserve">(300) Therefore, it must be ruled out that the behaviors under analysis fall within a merit-based competition by ALFOZ, which justified the preferential treatment given to the Terrae generation project linked to its business group.  </w:t>
        <w:br/>
        <w:t xml:space="preserve">5.5.2.3. Conclusion on the Abuse of Dominant Position  </w:t>
        <w:br/>
        <w:t xml:space="preserve">(301) The conclusion of the above is that ALFOZ took advantage of the privileged position conferred by its position as IUN to delay the request of an equally efficient competitor and discriminate it from the configuration of the SCA of which it should have been a part, so that it ended up excluded and did not have to share with its facilities due to the limited access capacity of the node.  </w:t>
        <w:br/>
        <w:t>(302) In other words, ALFOZ altered the procedure for configuring and submitting the SCAs that it had to send to REE, to favor a facility linked to its business group and exclude those of GLOBAL SHAULA.</w:t>
      </w:r>
    </w:p>
    <w:p>
      <w:r>
        <w:rPr>
          <w:b/>
        </w:rPr>
        <w:t>[Pages 76–78]</w:t>
      </w:r>
    </w:p>
    <w:p>
      <w:r>
        <w:t xml:space="preserve">S/0011/23  </w:t>
        <w:br/>
        <w:t>EÓLICA DE ALFOZ</w:t>
      </w:r>
    </w:p>
    <w:p>
      <w:r>
        <w:t xml:space="preserve">violating, thereby, the principles of equality, transparency, and non-discrimination that pertain to every IUN in the performance of its functions.  </w:t>
        <w:br/>
        <w:t xml:space="preserve">(303) ALFOZ thus failed to comply with the special responsibility that fell upon it due to its position as a dominant operator - derived from its status as IUN - consisting of ensuring not only a processing of requests in a joint and coordinated manner, according to their temporal precedence, but also that such processing was carried out transparently, equitably, and non-discriminatorily.  </w:t>
        <w:br/>
        <w:t xml:space="preserve">(304) This discriminatory treatment of the request from GLOBAL SHAULA's installations by ALFOZ did not respond to any objective justification252 and had sufficient capacity to generate a significant impact on its competitive position, with the effective, not merely potential, exclusion of GLOBAL SHAULA's projects that competed with the Terrae project linked to ALFOZ due to the available capacity at the Villimar 220 kV node.  </w:t>
        <w:br/>
        <w:t xml:space="preserve">(305) Therefore, in light of what has been stated so far, this Chamber clearly considers it established that ALFOZ abused its dominant position as IUN of the Villimar 220 kV node in the sense of Article 2 of the LDC.  </w:t>
        <w:br/>
        <w:t xml:space="preserve">5.5.3. Single and Continuous Infringement  </w:t>
        <w:br/>
        <w:t xml:space="preserve">5.5.3.1. General Principles  </w:t>
        <w:br/>
        <w:t xml:space="preserve">(306) Regarding the classification of a series of practices as a single, complex, and continuous infringement, the jurisprudence of the EU253 and Spain254, as well as the  </w:t>
        <w:br/>
        <w:t xml:space="preserve">252 As expressly stated in the Resolution of the SSR of September 22, 2021, in File CFT/163/19: “From the analysis of the communications exchanged between ALFOZ and GLOBAL SHAULA, it can be concluded that ALFOZ's conduct is obstructive. From the first email demanding submission to a certain subject - easily rectifiable by ALFOZ itself - through the raising of improper and unnecessary doubts, accompanied by a succession of emails with a clear dilatory intent.”  </w:t>
        <w:br/>
        <w:t xml:space="preserve">253 Judgments of the General Court of the European Union (Eighth Chamber), of May 19, 2010, IMI plc, IMI Kynoch Ltd and Yorkshire Copper Tube against European Commission, T-18/05, ECLI:EU:T:2010:202; of July 1, 2010, AstraZeneca AB and AstraZeneca plc / European Commission, Case T-321/05, EU:T:2010:266, paragraph 892; and of December 13, 2018, Deutsche Telekom AG v. Commission, T-827/14, EU:T:2018:930, paragraph 175, as well as the Judgment of the Court of Justice of January 7, 2004 (joined cases Aalborg Portland A/S (C-204/00 P), Irish Cement Ltd (C-205/00 P), Ciments français SA (C-211/00 P), Italcementi - Fabbriche Riunite Cemento SpA (C-213/00 P), Buzzi Unicem SpA (C-217/00 P) and Cementir - Cementerie del Tirreno SpA (C-219/00 P) against the Commission of the European Communities. ECLI:EU:C:2004:6; December 6, 2012, in case C-441/11P, Verhuizingen Coppens NV, ECLI:EU:C:2012:778, paragraph 41; and June 24, 2015, in case Fresh Del Monte Produce Inc. against European Commission and European Commission against Fresh Del Monte Produce Inc. C-293/13, Bananas, ECLI:EU:C:2015:416, paragraph 156. of September 6, 2017, Intel Corp. Inc. against European Commission, C-413/14 P, EU:C:2017:632,  </w:t>
        <w:br/>
        <w:t xml:space="preserve">254 See the judgments of the Supreme Court 932/2016 of March 3, 2016, ECLI: ES:TS:2016:932; 4654/2015 of October 27, 2015, ECLI:ES:TS:2015:4654; and 4599/2015 of October 21, 2015, ECLI:ES:TS:2015:4599 and the Judgment of the National Court 772/2018 of February 27, 2018, ECLI:ES:AN:2018:772 which concerns the resolution of the CNMC of May 26, 2016, (file S/DC/0504/14 AIO).  </w:t>
        <w:br/>
        <w:t xml:space="preserve">Comisión Nacional de los Mercados y la Competencia 76 de 109  </w:t>
        <w:br/>
        <w:t xml:space="preserve">C/ Alcalá, 47 – 28014 Madrid - C/ Bolivia, 56 – 08018 Barcelona  </w:t>
        <w:br/>
        <w:t>www.cnmc.es</w:t>
      </w:r>
    </w:p>
    <w:p>
      <w:r>
        <w:t xml:space="preserve">S/0011/23  </w:t>
        <w:br/>
        <w:t>EÓLICA DE ALFOZ</w:t>
      </w:r>
    </w:p>
    <w:p>
      <w:r>
        <w:t xml:space="preserve">CNMC in recent Resolutions255 have established the possibility of qualifying different actions constituting an abuse of a dominant position as a single and continuous infringement when the different actions have a "link of complementarity" between them to achieve the objectives contemplated in a strategy to which all these actions contribute.  </w:t>
        <w:br/>
        <w:t xml:space="preserve">(307) The concept of a single and continuous infringement, broadly defined regarding collusive behaviors contrary to Article 101 TFEU, has also been applied by community courts in the context of Article 102 TFEU (and, therefore, Article 2 of the LDC) in several matters. In this latter case, the determination of this legal figure is less demanding, as unilateral conduct does not require proving that different operators were aware of a common plan.  </w:t>
        <w:br/>
        <w:t xml:space="preserve">(308) In the Intel case256, where the application of this concept in the context of Article 102 is addressed in more detail, although the Judgment of the TGUE of July 1, 2010, in the AstraZeneca case257, which was subsequently confirmed by the CJEU, had already framed this concept: "the concept of a single and continuous infringement refers to a set of actions that are part of a common plan, due to their identical object, which distorts the competition within the internal market (judgment Aalborg Portland and others/Commission, cited in paragraph 870 above, paragraph 258). To qualify different actions as a single and continuous infringement, it is necessary to verify whether they present a link of complementarity, in the sense that each of them is intended to address one or several consequences of the normal functioning of competition, and contribute, through interaction, to the realization of the objectives contemplated within this overall plan. (judgment of the Court of December 12, 2007, BASF and UCB/Commission, T-101/05 and T-111/05, Rec. p. II-4949, paragraphs 179 and 181)".  </w:t>
        <w:br/>
        <w:t xml:space="preserve">(309) In the Judgment of the General Court of December 13, 2018, Deutsche Telekom AG, the Court refers to the qualification made by the Commission in its  </w:t>
        <w:br/>
        <w:t xml:space="preserve">255 See among others, the resolutions of the CNMC of March 14, 2019 (file S/DC/0598/2016 ELECTRIFICATION AND RAILWAY ELECTROMECHANICS), of February 4, 2021, (file S/0644/18 RADIOPHARMACEUTICALS), of May 17, 2022 (file S/0044/19 REAL SOCIEDAD CANINA DE ESPAÑA) and of November 10, 2022 (file S/0028/20 LEADIANT).  </w:t>
        <w:br/>
        <w:t xml:space="preserve">256 Judgment of the Court of Justice of September 6, 2017, Intel Corp. Inc. against European Commission, C-413/14 P, EU:C:2017:632  </w:t>
        <w:br/>
        <w:t xml:space="preserve">257 Judgment of the General Court of July 1, 2010, AstraZeneca AB and AstraZeneca plc / European Commission, T-321/05. EU: T: 2010:266, paragraph 892.  </w:t>
        <w:br/>
        <w:t xml:space="preserve">Comisión Nacional de los Mercados y la Competencia 77 de 109  </w:t>
        <w:br/>
        <w:t xml:space="preserve">C/ Alcalá, 47 – 28014 Madrid - C/ Bolivia, 56 – 08018 Barcelona  </w:t>
        <w:br/>
        <w:t>www.cnmc.es</w:t>
      </w:r>
    </w:p>
    <w:p>
      <w:r>
        <w:t xml:space="preserve">S/0011/23  </w:t>
        <w:br/>
        <w:t>EÓLICA DE ALFOZ</w:t>
      </w:r>
    </w:p>
    <w:p>
      <w:r>
        <w:t xml:space="preserve">decision in the case AT.39523 — Slovak Telekom,258 without such qualification being challenged by the complainant259:  </w:t>
        <w:br/>
        <w:t xml:space="preserve">“On the other hand, the Commission found, in recitals 1507 to 1511 of the contested Decision, that these different practices were part of a single exclusionary strategy developed by Slovak Telekom, aimed at restricting and distorting competition in the retail market for fixed broadband services in Slovakia and protecting the revenues and position of this operator in that market. On this basis, it concluded that these practices, for which the complainant should also be considered responsible in its capacity as the parent company of Slovak Telekom, formed part of a single overall plan aimed at restricting competition and thus constituted a single and continuous infringement (recital 1511 of the contested Decision).” (emphasis added)  </w:t>
        <w:br/>
        <w:t xml:space="preserve">(310) In accordance with the aforementioned European jurisprudence and national precedents, although these behaviors may be subject to individual sanctions as abuses covered by Article 2 of the LDC, they may be sanctioned jointly as part of the same strategy with the same objective260.  </w:t>
        <w:br/>
        <w:t xml:space="preserve">5.5.3.2. Application to the Specific Case  </w:t>
        <w:br/>
        <w:t xml:space="preserve">(311) As analyzed in detail previously, the behaviors subject to this file consist of different acts carried out by ALFOZ -taking advantage of its dominant position at the Villimar 220kV node- that have had the effect of excluding GLOBAL SHAULA's projects from the Spanish market for access and connection to the electricity transmission network at the Villimar 220kV node, affecting the electricity generation market; a situation that could only begin to be reversed from the resolution of the access conflict CFT/DE/163/19, issued on September 22, 2019.  </w:t>
        <w:br/>
        <w:t xml:space="preserve">(312) Such behaviors of ALFOZ mainly consisted of:  </w:t>
        <w:br/>
        <w:t xml:space="preserve">• Not directly sending to REE the request from GLOBAL SHAULA to REE, despite being complete from the very day of its submission on July 16, 2019 (among others, paragraphs (125), (156) or (274));  </w:t>
        <w:br/>
        <w:t xml:space="preserve">258 Case AT.39523 — Slovak Telekom, as modified by Decision C (2014) 10119 final of the Commission, of December 16, 2014, and by Decision C (2015) 2484 final of the Commission, of April 17, 2015  </w:t>
        <w:br/>
        <w:t xml:space="preserve">259 Judgment of the General Court of December 13, 2018, Deutsche Telekom AG v. Commission T-827/14, EU: T:2018:930, paragraph 175.  </w:t>
        <w:br/>
        <w:t xml:space="preserve">260 Judgment of the General Court of June 12, 2014, INTEL/COMMISSION T-286/09, ECLI:EU:T:2014:547, paragraph 1564 “According to the jurisprudence, therefore, the Commission was empowered to impose a single fine. In this regard, the Commission is not obliged to break down in the grounds of the contested Decision how it has taken into account each of the alleged abuses to determine the fine (see, in this sense, the judgments of the Court of October 6, 1994, Tetra Pak/Commission, T-83/91, Rec. p. II-755, paragraph 236, and Michelin II, cited in paragraph 75 above, paragraph 265)”.  </w:t>
        <w:br/>
        <w:t xml:space="preserve">Comisión Nacional de los Mercados y la Competencia 78 de 109  </w:t>
        <w:br/>
        <w:t xml:space="preserve">C/ Alcalá, 47 – 28014 Madrid - C/ Bolivia, 56 – 08018 Barcelona  </w:t>
        <w:br/>
        <w:t>www.cnmc.es</w:t>
      </w:r>
    </w:p>
    <w:p>
      <w:r>
        <w:rPr>
          <w:b/>
        </w:rPr>
        <w:t>[Pages 79–81]</w:t>
      </w:r>
    </w:p>
    <w:p>
      <w:r>
        <w:t xml:space="preserve">S/0011/23  </w:t>
        <w:br/>
        <w:t>EÓLICA DE ALFOZ</w:t>
      </w:r>
    </w:p>
    <w:p>
      <w:r>
        <w:t xml:space="preserve">• Wait until July 31 to make an initial improper request to GLOBAL SHAULA, asking it to send the application to another person within its same group (among others, paragraphs (126); (127) or (284);  </w:t>
        <w:br/>
        <w:t xml:space="preserve">• Not send the application from GLOBAL SHAULA to REE before August 2, 2019, at which time ALFOZ completed the correction of the previous applications (including that of the Terrae installation, linked to ALFOZ), despite the fact that the application from GLOBAL SHAULA was complete before these (among others, paragraph (274) or (284);  </w:t>
        <w:br/>
        <w:t xml:space="preserve">• Make a new unnecessary request for clarification on September 2, 2019 (among others, paragraph (130) and (284);  </w:t>
        <w:br/>
        <w:t xml:space="preserve">• Raise idle interpretative doubts about the application of GLOBAL SHAULA on September 16 (among others, paragraph (132) and (284);  </w:t>
        <w:br/>
        <w:t xml:space="preserve">• Make another unnecessary request for correction on September 20, 2019, regarding the application of GLOBAL SHAULA in relation to the location plan (among others, paragraphs (135) (284);  </w:t>
        <w:br/>
        <w:t xml:space="preserve">• Take no action to redirect the undue exclusion of the installations of GLOBAL SHAULA from the Villimar 220 kV node until the resolution of access conflict CFT/DE/163/19.  </w:t>
        <w:br/>
        <w:t>(313) Although each of these practices, including unjustified, idle corrections without legal or technical support (as expressly qualified by the SSR of September 22, 2021)261, may be individually classified as abusive conduct, they can be sanctioned collectively as part of a single and ongoing very serious infringement contrary to Article 2 LDC, considering their complementary nature to achieve the exclusion effect previously analyzed.</w:t>
      </w:r>
    </w:p>
    <w:p>
      <w:r>
        <w:t xml:space="preserve">5.6. Illegality of the Conduct  </w:t>
        <w:br/>
        <w:t xml:space="preserve">(314) For a typical conduct to be sanctionable, it must also be considered illegal. The illegality of a typical behavior is defined as the realization of the type not covered by justification causes provided in the sanctioning legal framework.  </w:t>
        <w:br/>
        <w:t xml:space="preserve">(315) According to repeated jurisprudence of the EU and national law, as well as the doctrine of the CNMC262, the existence of an objective justification determines that an abuse of a dominant position cannot be sanctioned, with the burden of proof of such objective justification resting on the party alleging it.  </w:t>
        <w:br/>
        <w:t xml:space="preserve">(316) In this case, neither the alleged justification can be considered valid, nor has it been proven that the alleged justification is essential, that is, objectively necessary, and proportional to the company's objective. Therefore, it must be concluded that the analyzed conduct lacks objective justification.  </w:t>
        <w:br/>
        <w:t xml:space="preserve">(317) It is necessary to remember that it is the responsibility of the company occupying a dominant position to demonstrate that the efficiency improvements that may arise from the behavior in question neutralize the likely harmful effects on competition and the interests of consumers in the affected markets, that such efficiency improvements have been or can be achieved thanks to such behavior, and that this is indispensable to achieve them and does not eliminate effective competition by suppressing all or most of the existing sources of current or potential competition263.  </w:t>
        <w:br/>
        <w:t xml:space="preserve">(318) On the other hand, Article 4 of the LDC states that prohibitions shall not apply to conduct resulting from the application of a law. In this case, the application of this exemption is also not possible, since the conduct under investigation is not covered by any law.  </w:t>
        <w:br/>
        <w:t>(319) In light of the above, it can be concluded that there are no objective arguments justifying the behavior of ALFOZ.</w:t>
      </w:r>
    </w:p>
    <w:p>
      <w:r>
        <w:t xml:space="preserve">5.7. Guilt and Individual Responsibility  </w:t>
        <w:br/>
        <w:t xml:space="preserve">5.7.1. Responsibility of Companies  </w:t>
        <w:br/>
        <w:t xml:space="preserve">5.7.1.1. General Principles  </w:t>
        <w:br/>
        <w:t xml:space="preserve">(320) In the field of Spanish sanctioning administrative law, objective liability for the commission of an infringement is not applicable, and the volitional element is essential. This means that the imposition of the sanction requires that the typical and illegal conduct be attributable, at least in terms of fault, to the author264. Therefore, Article 63.1 of the LDC conditions the exercise of the sanctioning power by the competition authority on the presence of intent or negligence in the infringing subject in the commission of the alleged conduct. In this regard, the Supreme Court has established that guilt in the scope of application of the LDC must take into account the logical particularities implied by the concept of legal person265:  </w:t>
        <w:br/>
        <w:t xml:space="preserve">“In the case of administrative infringements committed by legal persons, the subjective element of guilt is not eliminated, but it must be applied differently than it is for natural persons. […] this different construction of the attribution of the authorship of the infringement to the legal person arises from the very nature of the legal fiction that legal persons represent. They lack the volitional element in the strict sense, but not the capacity to infringe the rules to which they are subject. […] this principle [of guilt] must necessarily be applied differently than it is for natural persons […]”.  </w:t>
        <w:br/>
        <w:t xml:space="preserve">(321) Article 61 of the LDC establishes that the infringing subjects are natural or legal persons who carry out the actions or omissions classified as infringements in the LDC. In its second section, it indicates that “(...) the actions of a company are also attributable to the companies or persons that control it, except when its economic behavior is not determined by any of them”.  </w:t>
        <w:br/>
        <w:t xml:space="preserve">(322) The previous doctrine has been confirmed, among others, by the Judgment of the Provincial Court of Madrid, Section 28, of October 23, 2008, Sogecable (Appeal 559/2007) which reiterates the principles established in the matter by the jurisprudence of the EU266 under which the attribution to the parent company of the anti-competitive conduct of a subsidiary is motivated by the criterion of economic unity.  </w:t>
        <w:br/>
        <w:t xml:space="preserve">(323) In this regard, repeated jurisprudence of the CJEU267 has indicated on different occasions that:  </w:t>
        <w:br/>
        <w:t xml:space="preserve">“According to repeated jurisprudence, the behavior of a subsidiary can be attributed to the parent company, particularly when, although it has separate legal personality, that subsidiary does not autonomously determine its conduct in the market but essentially follows the instructions given by the parent company (...) taking into account specifically the economic, organizational, and legal links that unite those two legal entities (...). In such a situation, the parent company and its subsidiary are part of the same economic unit and, therefore, constitute a single company (...). In the particular case where a parent company participates in 100% of the capital of its subsidiary that has violated community law (...) there exists the  </w:t>
        <w:br/>
        <w:t xml:space="preserve">265 Judgment of the Supreme Court 2194/2015 of May 22, 2015, ECLI:ES:TS:2015:2194.  </w:t>
        <w:br/>
        <w:t xml:space="preserve">266 Judgments of the Court of Justice of November 25, 1971, Beguelin; of July 14, 1972, 22-71, ECLI:EU:C:1971:113, of July 14, 1972, ACNA and others AS,57-69, EU:C:1972:78; of November 21, 1973, Europemballage and Continental Can, case 672, of March 6, 1974, Commercial Solvents, 6-7/73, EU:C:1974:18; EU:C:1973:22), of October 31, 1974, case 15-74 Centrafarm, (EU:C:1974:114); of July 12, 1984, Hydrotherm, 30/87, EU:C:1988:225, of May 4, 1988, 30/87, Bodsom (ECLI:EU:C:1988:225), and of October 8, 2008, Schunk GmbH and Schunk Kohlenstoff-Technich GmbH, T-69/04, ECLI:EU:T:2008:415.  </w:t>
        <w:br/>
        <w:t>267 See the judgments of the Court of Justice of September 10, 2009 Akzo Nobel, C-97/08, ECLI:EU:C:2009:536; and of January 20, 2011, General Química SA and others against European Commission, C-90/09, ECLI:EU:C:2011:21.</w:t>
      </w:r>
    </w:p>
    <w:p>
      <w:r>
        <w:rPr>
          <w:b/>
        </w:rPr>
        <w:t>[Pages 82–84]</w:t>
      </w:r>
    </w:p>
    <w:p>
      <w:r>
        <w:t xml:space="preserve">S/0011/23  </w:t>
        <w:br/>
        <w:t>EÓLICA DE ALFOZ</w:t>
      </w:r>
    </w:p>
    <w:p>
      <w:r>
        <w:t xml:space="preserve">presumption iuris tantum that the parent company effectively exerts a decisive influence over the behavior of its subsidiary.  </w:t>
        <w:br/>
        <w:t xml:space="preserve">In these circumstances, it is sufficient for the Commission to prove that the parent company of a subsidiary holds all of its capital to presume that it exerts a decisive influence over the commercial policy of that subsidiary.”  </w:t>
        <w:br/>
        <w:t xml:space="preserve">(324) In relation to such control, Article 7.2 of the LDC states that control will result from contracts, rights, or any other means that, taking into account the factual and legal circumstances, confer the possibility of exercising a decisive influence over a company and, in particular, through property or usage rights of all or part of the assets of a company and contracts, rights, or any other means that allow for decisive influence over the composition, deliberations, or decisions of the company's bodies, also indicating that, in any case, it will be considered that such control exists when the assumptions provided for in Article 4 of Law 24/1988, of July 28, on the Securities Market are met.  </w:t>
        <w:br/>
        <w:t xml:space="preserve">(325) The above has been reiterated through numerous resolutions from both the Competition Defense Tribunal (TDC)268 and the National Competition Commission (CNC)269, establishing for these purposes that the relevant criterion is the existence of control, that is, that it has been able to exert a decisive influence over the subsidiary regardless of the means used, even in cases where such control has not been effectively exercised.  </w:t>
        <w:br/>
        <w:t xml:space="preserve">(326) Likewise, and according to the most recent jurisprudence of the CJEU,270 it is not only accepted that the presumption iuris tantum that the parent company exerts decisive control over its subsidiary when it holds 100% of the share capital, but even a financial investor can exert such control if it holds 100% of the voting rights, even if it does not own 100% of the share capital during the period of the infringement considered.  </w:t>
        <w:br/>
        <w:t xml:space="preserve">268 Resolutions of the TDC of July 6, 2000, (file 464/99 Medical Insurers Vizcaya); of April 18, 2001, (file 487/00 Radio Fórmula), of February 13, 2003, (file 549/02 Cementeras Puerto Bilbao); of March 1, 2007, (file 610/06 Prepaid Telephone Cards) and of June 16, 2005 Gas natural.  </w:t>
        <w:br/>
        <w:t xml:space="preserve">269 Resolutions of the CNC of September 8, 2020 (file S/008008 Shipping Companies Line Cabotage Ceuta- Algeciras); of January 21, 2010 (file S/0084/08 Gel Manufacturers); of March 2, 2011 (file S/0086/08 Professional Hairdressing) and January 26, 2010 (file SNC/003/09 Abertis/ Tradia).  </w:t>
        <w:br/>
        <w:t xml:space="preserve">270 Judgments of the General Court of June 16, 2011 in case T-196/06 Edison/Commission ECLI:EU:T:2011:281, as well as in judgments of the Court of Justice of June 15, 2005, Tokai Carbon and Others/European Commission T-71/03, ECLI:EU:T:2005:220; of September 12, 2007 Prym Consumer/Commission T-30/05, ECLI:EU:T:2007:267; of December 12, 2007, Akzo Nobel and others/Commission T-112/05, ECLI:EU:T:2007:381; of December 18, 2008, General Quimica/Commission T-85/06, ECLI:EU:T:2008:598; as well as both in the judgment of September 10, 2009 Akzo Nobel NV and others/Commission C-97/08P, ECLI:EU:C:2009:536; and conclusions of Advocate General Kokott of April 23, 2009 ECLI:EU:C:2009:249; and; of September 29, 2011 P Arkema SA/Commission C-520/09 C-520/09, ECLI:EU:C:2011:619, of June 16, 2011 in case Edison/Commission T-196/06, ECLI:EU:T:2011:281, October 1, 2013 Elf Aquitaine/Commission C-521/09 P, ECLI:EU:C:2011:620; and of January 27, 2021, THE GOLDMAN SACHS GROUP INC. C‑595/18 P, ECLI:EU:C:2021:73.  </w:t>
        <w:br/>
        <w:t xml:space="preserve">Comisión Nacional de los Mercados y la Competencia 82 de 109  </w:t>
        <w:br/>
        <w:t xml:space="preserve">C/ Alcalá, 47 – 28014 Madrid - C/ Bolivia, 56 – 08018 Barcelona  </w:t>
        <w:br/>
        <w:t>www.cnmc.es</w:t>
      </w:r>
    </w:p>
    <w:p>
      <w:r>
        <w:t xml:space="preserve">S/0011/23  </w:t>
        <w:br/>
        <w:t xml:space="preserve">EÓLICA DE ALFOZ  </w:t>
        <w:br/>
        <w:t xml:space="preserve">(327) In such cases, it is up to the parent company to rebut this presumption by providing evidence that its subsidiary autonomously determines its behavior in the market.  </w:t>
        <w:br/>
        <w:t xml:space="preserve">5.7.1.2. Application to the specific case  </w:t>
        <w:br/>
        <w:t xml:space="preserve">a) Regarding the responsibility of ALFOZ and its alleged lack of intent to harm GLOBAL SHAULA  </w:t>
        <w:br/>
        <w:t xml:space="preserve">(328) In its response to the proposed resolution, ALFOZ denies having engaged in an abuse of a dominant position, arguing that the investigating body has not demonstrated that its conduct was intended to harm GLOBAL SHAULA271.  </w:t>
        <w:br/>
        <w:t xml:space="preserve">(329) In response to the above, it is necessary to recall, first of all, that although, as previously noted, in Spanish sanctioning Administrative Law there is no room for objective liability, this can indeed be attributed on the grounds of fault or negligence. It would therefore suffice to establish the existence of negligence on the part of the accused company to determine its liability.  </w:t>
        <w:br/>
        <w:t xml:space="preserve">(330) Well, ALFOZ, as IUN of the Villimar 220kV node, could not be unaware of its special responsibility to ensure a processing that is not only joint and coordinated but also equal and non-discriminatory of the various requests that would pass through its hands as a necessary intermediary between the other promoters and REE. In this regard, as reflected in the established facts and as has been established throughout this resolution, ALFOZ clearly violated this responsibility by maintaining - in the words of the SSR of the CNMC - a “manifestly obstructive” conduct regarding the requests of GLOBAL SHAULA. This was such that, in a counterfactual scenario in which ALFOZ, diligently fulfilling its role as IUN, “had submitted GLOBAL SHAULA's request to REE without delaying it through the communications that have been exposed, it would have been registered by REE in a time window coinciding with the SCA submitted on August 2, 2019 and, undoubtedly, would have formed part of the coordinated access request272” thus avoiding its exclusion from the Villimar 220 kV node.  </w:t>
        <w:br/>
        <w:t xml:space="preserve">(331) Without prejudice to continuing to respond to ALFOZ's arguments, the above would suffice to consider this company liable for the abuse of a dominant position attributed on the grounds of negligence.  </w:t>
        <w:br/>
        <w:t xml:space="preserve">271 Pages 13 to 16 of ALFOZ's allegations to the Proposal for Resolution (folios 1846 to 1849).  </w:t>
        <w:br/>
        <w:t xml:space="preserve">272 Page 14 of the SSR Resolution in the access conflict CFT/DE/163/19 (folio 611).  </w:t>
        <w:br/>
        <w:t xml:space="preserve">Comisión Nacional de los Mercados y la Competencia 83 de 109  </w:t>
        <w:br/>
        <w:t xml:space="preserve">C/ Alcalá, 47 – 28014 Madrid - C/ Bolivia, 56 – 08018 Barcelona  </w:t>
        <w:br/>
        <w:t>www.cnmc.es</w:t>
      </w:r>
    </w:p>
    <w:p>
      <w:r>
        <w:t xml:space="preserve">S/0011/23  </w:t>
        <w:br/>
        <w:t xml:space="preserve">EÓLICA DE ALFOZ  </w:t>
        <w:br/>
        <w:t xml:space="preserve">(332) As an alleged alternative explanation to refute the absence of intent to harm GLOBAL SHAULA in the processing of its request, ALFOZ argues that “on July 10, 2019 (that is, before the request of Global Shaula) REE informed EdA [ALFOZ] in writing that the margin of available capacity for wind generation connection at the Villimar node was 196 MW [and therefore] “[r]esults indisputable that the three wind farms whose requests had already been submitted by EdA [ALFOZ] (Abrazidlla, Cerevil, and Terrae) had a combined capacity of 303 MW, far exceeding the available capacity as of July 10.” Therefore, according to ALFOZ's argument, it “was aware on July 10 that the pending access requests for approval by REE exceeded -by far- the available capacity of the Villimar node and that any subsequent request (from Global Shaula or any third party) would necessarily be rejected by REE by legal imperative”273.  </w:t>
        <w:br/>
        <w:t xml:space="preserve">(333) This argument cannot be accepted. As the SSR pointed out regarding the counterfactual scenario referenced in paragraph (330) above, even though GLOBAL SHAULA submitted its access request on July 16, 2019 (i.e., after July 10), it would have had to be considered included in the SCA and therefore a new allocation of the available capacity that included GLOBAL SHAULA's facilities would have been carried out. This is because, despite being subsequent to the other requests, GLOBAL SHAULA's request was complete from July 16, 2019, while the others were not until ALFOZ proceeded with the necessary corrections on August 2, 2019274, a circumstance that ALFOZ, as IUN of the node, could not be unaware of.  </w:t>
        <w:br/>
        <w:t xml:space="preserve">(334) In this regard, it is recalled what was stated verbatim in the SSR Resolution that “until that moment [August 2, 2019] REE qualifies those SCAs [which include the facilities not promoted by GLOBAL SHAULA] as incomplete,” so that the SCA was not considered duly constituted until August 2, 2019 while “as has been evidenced, GLOBAL SHAULA submitted its request correctly on June 16, 2019 and it was subject to unjustified delays by the IUN”275.  </w:t>
        <w:br/>
        <w:t xml:space="preserve">(335) The additional argument of ALFOZ to refute the absence of negligence or bad faith, regarding the unjustified requests for information it directed to ALFOZ on September 2, 16, and 20, being subsequent to August 2, 2019 (the date on which, we recall, ALFOZ corrected 273 Pages 14 and 15 of the SSR Resolution of September 22, 2021 in the access conflict CFT/DE/163/19 (folios 611 and 612).  </w:t>
        <w:br/>
        <w:t xml:space="preserve">274 It is recalled what was stated in the SSR Resolution of September 22, 2021 regarding that “until that moment [August 2, 2019] REE qualifies those SCAs [which include the facilities not promoted by GLOBAL SHAULA] as incomplete” while “GLOBAL SHAULA 275 Pages 14 and 15 of the SSR Resolution of September 22, 2021 in the access conflict CFT/DE/163/19 (folios 611 and 612).  </w:t>
        <w:br/>
        <w:t xml:space="preserve">Comisión Nacional de los Mercados y la Competencia 84 de 109  </w:t>
        <w:br/>
        <w:t xml:space="preserve">C/ Alcalá, 47 – 28014 Madrid - C/ Bolivia, 56 – 08018 Barcelona  </w:t>
        <w:br/>
        <w:t>www.cnmc.es</w:t>
      </w:r>
    </w:p>
    <w:p>
      <w:r>
        <w:rPr>
          <w:b/>
        </w:rPr>
        <w:t>[Pages 85–87]</w:t>
      </w:r>
    </w:p>
    <w:p>
      <w:r>
        <w:t xml:space="preserve">S/0011/23  </w:t>
        <w:br/>
        <w:t>EÓLICA DE ALFOZ</w:t>
      </w:r>
    </w:p>
    <w:p>
      <w:r>
        <w:t xml:space="preserve">the pending applications and these were deemed completed) and that, ultimately, "nothing that EdA [ALFOZ] could do from August 2, 2019, could have any influence on the assignment by REE of the connection capacity to the node, which had already been exhausted since that same date"276.  </w:t>
        <w:br/>
        <w:t xml:space="preserve">(336) In response to the above, it should first be noted that, even assuming there was nothing to be done from August 2 to reverse the exclusion of GLOBAL SHAULA due to the exhaustion of the node's capacity, this situation is exclusively attributable to the improper actions of the IUN. Therefore, ALFOZ cannot claim to benefit from its own improper acts to exclude the responsibility arising from them.  </w:t>
        <w:br/>
        <w:t xml:space="preserve">(337) Furthermore, it is also not true that GLOBAL SHAULA could do nothing from that date to reverse the situation. Notably, it had sufficient leeway to inform REE that GLOBAL SHAULA had submitted a complete application for its Las Viñas 130 MW and Torresandino 90 MW installations since July 16, 2019. It should be noted that, until November 15, 2019, REE did not inform ALFOZ that access to the Villimar 220 kV substation for GLOBAL SHAULA's installations (Las Viñas and Torresandino) was not viable due to the exhaustion of the node's capacity (paragraph (140)), and the latter did not raise the access conflict CFT/DE/163/19 until December 17.  </w:t>
        <w:br/>
        <w:t xml:space="preserve">(338) In fact, based precisely on the aforementioned arguments of ALFOZ, it can be inferred that its attitude regarding the processing of GLOBAL SHAULA's application was not merely negligent but clearly fraudulent, as it accepted, without further ado, said application and required GLOBAL SHAULA to make corrections and provide undue information, simulating that it could have a chance of being accepted, despite the fact that, allegedly, ALFOZ knew that prior applications would exhaust the node's capacity from July 10, 2019, based on its supposed temporal primacy. This bad faith on the part of ALFOZ has, in fact, been confirmed by the SSR, stating that its conduct as IUN was "manifestly obstructive" "[f]rom the first email demanding submission to a specific subject -easily correctable by ALFOZ itself-, through the raising of improper and unnecessary doubts, accompanied by a succession of emails with a clear dilatory intent"277 (emphasis and underlining added).  </w:t>
        <w:br/>
        <w:t xml:space="preserve">276 Page 15 of ALFOZ's allegations regarding the Proposal for Resolution (folios 1847).  </w:t>
        <w:br/>
        <w:t xml:space="preserve">277 Pages 13 and 14 of the SSR Resolution of September 22, 2021, in the access conflict CFT/DE/163/19 (folios 611 and 612).  </w:t>
        <w:br/>
        <w:t xml:space="preserve">Comisión Nacional de los Mercados y la Competencia 85 de 109  </w:t>
        <w:br/>
        <w:t xml:space="preserve">C/ Alcalá, 47 – 28014 Madrid - C/ Bolivia, 56 – 08018 Barcelona  </w:t>
        <w:br/>
        <w:t>www.cnmc.es</w:t>
      </w:r>
    </w:p>
    <w:p>
      <w:r>
        <w:t xml:space="preserve">S/0011/23  </w:t>
        <w:br/>
        <w:t>EÓLICA DE ALFOZ</w:t>
      </w:r>
    </w:p>
    <w:p>
      <w:r>
        <w:t xml:space="preserve">(339) Additionally, to deny its intention to harm GLOBAL SHAULA, ALFOZ reiterates the assertion that it lacked the dual status of IUN and promoter since it "did not promote (either directly or through its business group) any of the three wind farms (Terreae, Abrazadilla, and Cerevil) supposedly benefited by its action and favored over Global Shaula"278.  </w:t>
        <w:br/>
        <w:t xml:space="preserve">(340) This argument must be rejected for the reasons previously stated in paragraphs (219) to (237) above regarding the existing links between ALFOZ and the Terrae installation, which benefited from ALFOZ's actions as IUN of the Villimar 220 kV node. As pointed out in the referenced paragraphs, the undeniable connections between ALFOZ and EDPR, and in particular, the presence of executives from the EDP Group (to which EDPR belongs) in the management of ALFOZ and its parent company, BETA, leave no doubt about the degree of involvement of EDPR in the management of its former subsidiary, which promoted the Terrae application in its name and for EDPR, in accessing the Villimar 220 kV node.  </w:t>
        <w:br/>
        <w:t xml:space="preserve">(341) The conclusion of the above is that ALFOZ must be considered responsible for the infringement of Article 2 LDC subject to this file.  </w:t>
        <w:br/>
        <w:t xml:space="preserve">b) On the duration of the infringement and the statute of limitations claimed by ALFOZ  </w:t>
        <w:br/>
        <w:t xml:space="preserve">(342) Regarding the duration of the responsibility for the commission of the single and continuous infringement -the material authorship of which is attributed to ALFOZ- its commencement is marked by the failure to submit GLOBAL SHAULA's application to REE, which was complete on July 16, 2019. That is, more than 15 days before ALFOZ submitted the SCA (which included the Terrae installation linked to its business group) on August 2, 2019, to REE, which was the one that exhausted the capacity of the node.  </w:t>
        <w:br/>
        <w:t xml:space="preserve">(343) As previously stated several times and confirmed by the SSR, GLOBAL SHAULA's application was complete on July 16, 2019, and for this reason, ALFOZ should have submitted it immediately to REE, and in any case, this application from GLOBAL SHAULA should have been part of the contingent of the SCA of August 2, 2019, with ALFOZ's dilatory action preventing and unjustifiably delaying its submission.  </w:t>
        <w:br/>
        <w:t xml:space="preserve">(344) Regarding the conclusion of the continuous infringement, the abusive conduct remained fully effective until the adoption of the SSR resolution in the access conflict CFT/DE/163/19 of September 22, 2021, the date on which it was ordered to revert the actions of the improperly processed access procedure by ALFOZ in order to integrate -along with the Abrazadilla, Terrae, and Cerevil installations- the access application of the two wind installations of 130 and 90 MW of the company GLOBAL SHAULA in the coordinated access application constituted on August 2, 2019. The above is also consistent with the resolutions adopted by this Chamber in two recent files regarding abuses of dominant position committed, through similar actions, by the IUN of an access node to the network279.  </w:t>
        <w:br/>
        <w:t xml:space="preserve">(345) In its response to the Proposal for Resolution, ALFOZ disputes the date of conclusion of the infringement and argues that it would be time-barred, and therefore its responsibility cannot be established280.  </w:t>
        <w:br/>
        <w:t xml:space="preserve">(346) Specifically, ALFOZ points to September 24, 2019, as the date of termination of the infringement -the date on which it forwarded GLOBAL SHAULA's application to REE- as this would be the milestone that would have definitively ended its intervention in the access process. Based on this position, ALFOZ argues that the conduct attributed would be time-barred due to the passage of more than 4 years (the period provided for the statute of limitations for very serious infringements of the LDC in its Article 68.1 LDC) between the aforementioned milestone and the initiation of the procedure (on October 23, 2023). In this regard, ALFOZ states unequivocally that the initiation of the file by the DC is the only action of the CNMC capable of interrupting the statute of limitations.  </w:t>
        <w:br/>
        <w:t xml:space="preserve">(347) To support its position regarding the date of conclusion of the infringement, ALFOZ invokes, fundamentally, two judgments of the Audiencia Nacional of April 30, 2024 (appeal 694/2018) and February 12, 2024 (appeal 2263/2019), in which the respective appeals against the resolutions of the CNMC in the files S/DC/0569/15, AUTOMOTIVE BATTERIES and S/0425/12 DAIRY INDUSTRIES 2 are resolved. According to ALFOZ, in both cases, the conclusion of the infringement established by the CNMC in the challenged resolutions would correspond to the "last relevant incriminating fact detected by the CNMC," which coincidentally corresponds to an action attributable to the infringing company itself (such as the sending of an email by one of its employees) and "not the disappearance of the effects of the conduct or -even less- the action of a third party such as the CNMC"281.  </w:t>
        <w:br/>
        <w:t xml:space="preserve">(348) ALFOZ's position cannot be accepted for the reasons set forth below.  </w:t>
        <w:br/>
        <w:t xml:space="preserve">(349) First, while the 4-year statute of limitations provided in Article 68.1 LDC is the same for all "very serious" infringements of this law, the issue regarding the determination of the end of a continuous infringement  </w:t>
        <w:br/>
        <w:t xml:space="preserve">279 Resolutions of the Competition Chamber of the CNMC of June 10, 2022 (file S/0022/20 ENEL GREEN POWER) and December 22, 2023, (file S/0003/23 LUMINORA).  </w:t>
        <w:br/>
        <w:t xml:space="preserve">280 First allegation of ALFOZ's allegations regarding the Proposal for Resolution; pages 5 to 9 (folios 1838 to 1842).  </w:t>
        <w:br/>
        <w:t xml:space="preserve">281 Page 7 of ALFOZ's allegations regarding the Proposal for Resolution (folio 1840).  </w:t>
        <w:br/>
        <w:t xml:space="preserve">Comisión Nacional de los Mercados y la Competencia 87 de 109  </w:t>
        <w:br/>
        <w:t xml:space="preserve">C/ Alcalá, 47 – 28014 Madrid - C/ Bolivia, 56 – 08018 Barcelona  </w:t>
        <w:br/>
        <w:t>www.cnmc.es</w:t>
      </w:r>
    </w:p>
    <w:p>
      <w:r>
        <w:rPr>
          <w:b/>
        </w:rPr>
        <w:t>[Pages 88–90]</w:t>
      </w:r>
    </w:p>
    <w:p>
      <w:r>
        <w:t xml:space="preserve">S/0011/23  </w:t>
        <w:br/>
        <w:t xml:space="preserve">EÓLICA DE ALFOZ  </w:t>
        <w:br/>
        <w:t xml:space="preserve">may vary depending on the particularities of the specific case and the type of infringement analyzed, without the conclusions of a particular matter necessarily being transferable to all others, as derived from ALFOZ's reductionist approach.  </w:t>
        <w:br/>
        <w:t xml:space="preserve">(350) The behaviors subject to the judgments invoked by ALFOZ constituted infringements of Article 1 LDC (collusive behaviors) and not of Article 2 LDC (abuse of a dominant position) as occurs in the present file. Well, the collusive practices of Article 1 LDC require - in addition to having an anti-competitive object or effect, the concerted participation of at least two subjects, so that, in the case of continued infringements of Article 1 LDC, the milestone that marks their termination could be determined by the last evidence of concertation in the file (such as, indeed, an exchange in the form of an email). However, this double requirement (concertation in addition to limitation of competition) is not required regarding abusive practices contrary to Article 2 LDC - such as the one analyzed here - which, by principle, are unilateral behaviors whose continuation does not depend on two subjects continuing to concert. The dominant operator can continue to engage in anti-competitive behavior once it has initiated it, as long as it does not take specific measures to end the abuse.  </w:t>
        <w:br/>
        <w:t xml:space="preserve">(351) Furthermore, it is also not true - even in the case of collusive behaviors - that the determination of the end of the infringement cannot take into account the effect of the behaviors or be prolonged in the absence of additional specific anti-competitive actions. The National Court itself has confirmed - in other judgments contemporary to that cited by ALFOZ - that the infringement of Article 1 LDC consisting of a distribution of public tenders can extend beyond the award (i.e., after any act of the companies that may reverse the attribution of the contract in their favor), pointing out, to deny the application of the statute of limitations alleged by an appellant, that although the distribution agreements conclude before the award of the contracts "these agreements extend their effectiveness during the execution" of the same282.  </w:t>
        <w:br/>
        <w:t xml:space="preserve">(352) On the other hand, contrary to what it claims in its written allegations to the Proposal for Resolution, ALFOZ could have taken some measure after September 24, 2019, to help reverse the exclusion effect to which it subjected GLOBAL SHAULA, as a consequence of its abusive behavior as IUN. Among other things, it could have informed REE that GLOBAL SHAULA's application was complete since June 16, 2019, and was therefore prior, from a temporal order of precedence, to the other applications, which could only be considered complete from August 2, 2019 (as previously stated). ALFOZ had room for this, at least, until November 15, 2019, when REE, trusting that the IUN had correctly processed the applications, communicated to ALFOZ that access to the Villimar 220 kV substation, for GLOBAL SHAULA's facilities (Las Viñas and Torresandino), was not viable as the capacity of the node had been exhausted (paragraph (140)). ALFOZ's position once the CFT/DE/163/19 was raised did not contribute to expedite its resolution and therefore to shorten the duration of the exclusion effect to which it subjected GLOBAL SHAULA since, during it, it claimed that its performance as IUN had "been impeccable, diligently and rigorously fulfilling its obligations."  </w:t>
        <w:br/>
        <w:t xml:space="preserve">(353) The assertion of ALFOZ in its response to the Proposal for Resolution that "even if the thesis of the PR that the statute of limitations does not begin while the effects in the market persist could be accepted, this would not be applicable to the present case, for the simple reason that the behavior examined has demonstrably had no effect in the market as none of the three supposedly favored wind farms have come into operation"283 cannot be accepted either.  </w:t>
        <w:br/>
        <w:t xml:space="preserve">(354) This approach is ineffective since the fact that the facilities benefited by ALFOZ's actions have not yet come into operation does not prevent the observation that GLOBAL SHAULA was improperly denied access to its own facilities, suffering all the damages derived from this situation. Among such damages is, to begin with, having to raise the access conflict CFT/DE/163/19, which was not resolved until September 22, 2021, the only date on which the conclusion of the abusive behavior attributed to ALFOZ can be situated and which solely determines the moment when the anti-competitive effects derived from it could begin to be reversed. This is also compounded by the delay in GLOBAL SHAULA's commercial strategy regarding the facilities not integrated at the time into the SCA.  </w:t>
        <w:br/>
        <w:t xml:space="preserve">(355) The conclusion of the above is that the duration of the unique and continued infringement of Article 2 LDC attributed to ALFOZ extended, at least, between July 16, 2019, and September 22, 2021, without, in any case, being able to be considered time-barred.  </w:t>
        <w:br/>
        <w:t xml:space="preserve">c) On the responsibility of BETA in its capacity as direct parent of ALFOZ  </w:t>
        <w:br/>
        <w:t xml:space="preserve">(356) In the present case, and regarding the attribution of the parent company in the anti-competitive behavior by the subsidiary, it is considered that EÓLICA DEL ALFOZ, S.L. and its parent BETA PARTICIPACIONES, S.A., belong to the same economic unit given the percentage of the parent company's participation in the share capital of the subsidiary of 100% throughout the period of the infringement.  </w:t>
        <w:br/>
        <w:t xml:space="preserve">(357) Furthermore, following the extensive jurisprudence on this matter284, there are numerous personal links between the companies that reinforce their consideration as a single economic unit. In this sense, it is noteworthy that ALFOZ and its parent share joint administrators. Moreover, all the documents submitted in the context of the file with parent and subsidiary have been made with the same legal representative for both legal entities.  </w:t>
        <w:br/>
        <w:t xml:space="preserve">(358) Thus, in the absence of arguments to the contrary, the presumption iuris tantum applies that BETA - as its 100% parent - exercised decisive influence over ALFOZ under the name of EDPR PARTICIPACIONES S.L., from July 16, 2019, until November 27, 2019 - the date on which its name change occurred285 - and, subsequently, from that date until September 22, 2021, under its current name of BETA PARTICIPACIONES, S.A.  </w:t>
        <w:br/>
        <w:t xml:space="preserve">(359) Therefore, by virtue of Article 61.2 of the LDC, BETA must be considered jointly liable for the unique and continued infringement of Article 2 of the LDC materially committed by ALFOZ, the duration of which - as previously established - extended between July 16, 2019, and September 22, 2021.  </w:t>
        <w:br/>
        <w:t xml:space="preserve">6. DETERMINATION OF THE SANCTION  </w:t>
        <w:br/>
        <w:t xml:space="preserve">6.1. Criteria for imposing fines  </w:t>
        <w:br/>
        <w:t xml:space="preserve">6.1.1. General principles  </w:t>
        <w:br/>
        <w:t xml:space="preserve">(360) The existence of a very serious infringement has been declared (art. 62.4.b of the LDC) which may be sanctioned with a fine of up to 10% of the total turnover of the infringing company in the financial year immediately preceding the imposition of the fine (art. 63.1.c), that is, the financial year 2024.  </w:t>
        <w:br/>
        <w:t xml:space="preserve">(361) In the Spanish legal system, the determination of sanctions must be carried out based on the criteria established in Article 64 of the LDC.  </w:t>
        <w:br/>
        <w:t xml:space="preserve">284 In this sense, Judgment of the Court of First Instance of May 14, 1998, NV Koninklijke KNP BT v. Commission of the European Communities. Case T-309/94. ECLI:EU: T: 1998:91, paragraphs 47 and 48; Judgment of the Court of First Instance of April 26, 2007. Bolloré SA and others v. Commission, joined cases T-109/02, T-118/02, T-122/02, T-125/02, T-126/02, T-128/02, T-129/02, T-132/02 and T-136/02, ECLI:EU:T:2007:115, paragraph 140 and Conclusions of the Advocate General in the Judgment of the Court of Justice of November 16, 2000. Stora Kopparbergs Bergslags AB v. Commission, Case C-286/98 P, ECLI:EU:C:2000:630, paragraph 58.  </w:t>
        <w:br/>
        <w:t>285 The name change occurred on November 27, 2019, according to information available on the BORME website: https://www.boe.es/borme/dias/2019/11/27/pdfs/BORME-A-2019-228-33.pdf</w:t>
      </w:r>
    </w:p>
    <w:p>
      <w:r>
        <w:rPr>
          <w:b/>
        </w:rPr>
        <w:t>[Pages 91–93]</w:t>
      </w:r>
    </w:p>
    <w:p>
      <w:r>
        <w:t xml:space="preserve">S/0011/23  </w:t>
        <w:br/>
        <w:t>EÓLICA DE ALFOZ</w:t>
      </w:r>
    </w:p>
    <w:p>
      <w:r>
        <w:t xml:space="preserve">the application must be carried out in accordance with the jurisprudential doctrine established by our Supreme Court286.  </w:t>
        <w:br/>
        <w:t xml:space="preserve">(362) As provided in Directive ECN+, national competition authorities "must have the power to impose effective, proportionate, and dissuasive fines on companies and associations of companies."287  </w:t>
        <w:br/>
        <w:t xml:space="preserve">(363) The sanctions must be determined based on the duration and severity of the infringement. To assess the severity of the conduct, the following may be considered: "the nature of the infringement, the combined market share of all the companies involved, the geographical scope of the infringement, the fact that the infringement has been applied, the value of the sales of goods and services of the company to which the infringement refers directly or indirectly, and the size and market power of the company involved"288.  </w:t>
        <w:br/>
        <w:t>(364) In this process of determining the sanctions, the Council of the CNMC "fulfills its obligation to provide reasoning when it indicates in its decision the elements of appreciation that have allowed it to determine the severity of the infringement, as well as its duration, without being obliged to indicate the numerical data relating to the method of calculating the fine"289.</w:t>
      </w:r>
    </w:p>
    <w:p>
      <w:r>
        <w:t xml:space="preserve">6.1.2. Application to the Case  </w:t>
        <w:br/>
        <w:t xml:space="preserve">(365) The conduct under investigation is a practice prohibited by Article 2 of the LDC, whereby EÓLICA DEL ALFOZ, S.L. and, jointly and severally, its parent company BETA PARTICIPACIONES IBÉRICA, S.L., abused their dominant position in their capacity as IUN at the Villimar 220 kV node, by prioritizing the access of projects from their business group, discriminating against and expelling the projects of GLOBAL SHAULA, in the Spanish market for access and connection to the electricity transmission network at said node, from July 16, 2019, until September 22, 2021, the date on which the Resolution of the Regulatory Supervision Chamber of the CNMC upheld the access conflict CFT/DE/163/19 raised by GLOBAL SHAULA.  </w:t>
        <w:br/>
        <w:t xml:space="preserve">(366) According to the information gathered, the total turnover of EÓLICA DEL ALFOZ in 2024 amounted to [CONFIDENTIAL]290.  </w:t>
        <w:br/>
        <w:t xml:space="preserve">286 Especially, the Judgment of the Supreme Court 2872/2013 of January 29, 2015, (ECLI:ES:TS:2015:112).  </w:t>
        <w:br/>
        <w:t xml:space="preserve">287 See Recital 40 of Directive (EU) 2019/1 of the European Parliament and of the Council, of December 11, 2018, aimed at equipping the competition authorities of the Member States with means to more effectively apply the competition rules and ensure the proper functioning of the internal market (OJ L 11 of January 14, 2019, p. 3/33).  </w:t>
        <w:br/>
        <w:t xml:space="preserve">288 See Recital 47 of Directive ECN+.  </w:t>
        <w:br/>
        <w:t xml:space="preserve">289 Judgment of the CJEU of October 22, 2015, case C-194/14 P AC-Treuhand AG v. European Commission, (ECLI:EU:C:2015:717), cited, among many others, by the Judgment of the TS of June 7, 2021, appeal 5428/2020 (ECLI:ES:TS:2021:2439).  </w:t>
        <w:br/>
        <w:t>290 Written response from ALFOZ and BETA to the request for information regarding their turnover dated February 6, 2025.</w:t>
      </w:r>
    </w:p>
    <w:p>
      <w:r>
        <w:t xml:space="preserve">S/0011/23  </w:t>
        <w:br/>
        <w:t>EÓLICA DE ALFOZ</w:t>
      </w:r>
    </w:p>
    <w:p>
      <w:r>
        <w:t xml:space="preserve">(367) Next, the modulation criteria provided in Article 64 of the LDC for determining the amount of the sanction are evaluated, taking into account the characteristics of the infringement.  </w:t>
        <w:br/>
        <w:t xml:space="preserve">(368) First, regarding the characteristics of the affected market (art. 64.1.a), the infringement took place in the market for access and connection to the electricity transmission network at the Villimar 220 kV node, with effects in the related market of electricity generation.  </w:t>
        <w:br/>
        <w:t xml:space="preserve">(369) Regarding the size of the affected market (art. 64.1.a), the revenue obtained by EÓLICA DE ALFOZ in the affected market during the infringement period is [CONFIDENTIAL].  </w:t>
        <w:br/>
        <w:t xml:space="preserve">(370) Regarding market share, the figure of the IUN would have a privileged position as a necessary processor of access to a given node of the electricity transmission network. The designation of EÓLICA DE ALFOZ as IUN of the Villimar 220 kV node implied a dominant position in access to the node, and therefore, at the same time, the special responsibility to ensure a processing that is not only joint and coordinated but also equal and non-discriminatory, given that it is an exception to the general rule of individual access requests.  </w:t>
        <w:br/>
        <w:t xml:space="preserve">(371) The geographical market affected by the infringements is that of the location of the node (art. 64.1.c).  </w:t>
        <w:br/>
        <w:t xml:space="preserve">(372) The duration of the conduct (art. 64.1.d), which lasted from July 16, 2019, to September 22, 2021, both inclusive, spans 26 months.  </w:t>
        <w:br/>
        <w:t xml:space="preserve">(373) Regarding the possible effects of the infringement on consumers and economic operators and the illicit benefit (art. 64.1.e), the conduct had the actual effect of expelling GLOBAL SHAULA from the electricity transmission network access market, maintaining this situation until the SSR issued the Resolution dated September 22, 2021, upholding the conflict CFT/DE/163/19 raised by the affected party itself.  </w:t>
        <w:br/>
        <w:t>(374) Regarding aggravating and mitigating circumstances, no mitigating or aggravating circumstances are observed that should be taken into account under Article 64 LDC to set the amount of the sanction.</w:t>
      </w:r>
    </w:p>
    <w:p>
      <w:r>
        <w:t xml:space="preserve">6.1.3. Allegations of ALFOZ to the Proposal for Resolution  </w:t>
        <w:br/>
        <w:t xml:space="preserve">(375) ALFOZ alleges that the proposed sanction in the Proposal for Resolution is unjustified and disproportionate.  </w:t>
        <w:br/>
        <w:t>(376) The company considers that the Proposal for Resolution merely reviews the weighting criteria for the sanction in Article 64.1 of the LDC to conclude that the sanctioning rate that should be set in this case would be 3.5% of the company's turnover in 2023.</w:t>
      </w:r>
    </w:p>
    <w:p>
      <w:r>
        <w:t xml:space="preserve">S/0011/23  </w:t>
        <w:br/>
        <w:t>EÓLICA DE ALFOZ</w:t>
      </w:r>
    </w:p>
    <w:p>
      <w:r>
        <w:t xml:space="preserve">(377) In this regard, ALFOZ also claims that the DC should have compared that sanctioning rate with the sanctioning rates recently imposed by the Council of the CNMC for infringements of Article 2 of the LDC and assessed whether the proposed sanction deviates from previous cases. Thus, the company compares the proposed sanctioning rate in the Proposal for Resolution with the sanctioning rate set in other CNMC cases. As a conclusion of its comparisons, it is stated in the allegations that there is a disproportion between the sanctioning rates.  </w:t>
        <w:br/>
        <w:t xml:space="preserve">(378) Specifically, it is noted that the proposed percentage of 3.5% represents approximately half of the sanctioning rates set in cases with greater scope and duration. Along with the previous generic conclusion, they make a direct comparison with case S/0003/23 LUMINORA, where, according to ALFOZ's assertions, a lower sanctioning rate was set for a shorter conduct.  </w:t>
        <w:br/>
        <w:t xml:space="preserve">(379) Once the alleged disproportion of the sanction has been pointed out, ALFOZ continues its allegations by stating that the DC would have committed some errors in assessing the severity and characteristics of the infringement.  </w:t>
        <w:br/>
        <w:t xml:space="preserve">(380) On the one hand, ALFOZ denies the existence of effects derived from the conduct, as none of the wind farms accessing the Villimar node would have come into operation at the time of the resolution of the access conflict.  </w:t>
        <w:br/>
        <w:t xml:space="preserve">(381) On the other hand, the company denies having obtained illicit benefits from the conduct. In this regard, ALFOZ points out that (i) it does not receive any remuneration for its role as IUN under the applicable regulations, (ii) it did not promote any of the wind farms benefited by the expulsion of GLOBAL SHAULA, and (iii) the conduct had no effect on the market as none of the farms had come into operation.  </w:t>
        <w:br/>
        <w:t xml:space="preserve">(382) Finally, ALFOZ considers that the net turnover considered for the calculation of the sanction is incorrect. In its allegations, it states that the turnover figure provided contains income derived from investment remuneration and income from adjustments for deviations from the market price. They also point out that these figures do not represent a real movement of funds, but rather accounting provisions made based on the corresponding regulation. ALFOZ concludes that for a correct calculation of the sanction, the figure of 5,424,163 euros, corresponding to the aforementioned accounting adjustments, should have been deducted from the base for calculating the sanction.  </w:t>
        <w:br/>
        <w:t xml:space="preserve">(383) Such allegations cannot be accepted for the reasons set forth below.  </w:t>
        <w:br/>
        <w:t>(384) Regarding the alleged lack of motivation of the sanction, it is important to remember that the lack of detail on the quantification of the assessments of the different criteria used does not imply, in any way, a lack of motivation, as indicated by the National Commission of Markets and Competition.</w:t>
      </w:r>
    </w:p>
    <w:p>
      <w:r>
        <w:rPr>
          <w:b/>
        </w:rPr>
        <w:t>[Pages 94–96]</w:t>
      </w:r>
    </w:p>
    <w:p>
      <w:r>
        <w:t xml:space="preserve">S/0011/23  </w:t>
        <w:br/>
        <w:t>EÓLICA DE ALFOZ</w:t>
      </w:r>
    </w:p>
    <w:p>
      <w:r>
        <w:t xml:space="preserve">the jurisprudence. See in this regard the Judgment of the Court of Justice of the European Union of October 22, 2015 (Case AC-Treuhand/Commission), which states the following:  </w:t>
        <w:br/>
        <w:t>"When setting the amount of the fine in the event of a breach of competition rules, the Commission fulfills its obligation to provide reasoning when it indicates in its decision the elements of assessment that have allowed it to determine the seriousness of the infringement, as well as its duration, without being obliged to indicate the numerical data relating to the method of calculating the fine."</w:t>
      </w:r>
    </w:p>
    <w:p>
      <w:r>
        <w:t>(385) Furthermore, this Chamber does not agree that the Proposal for Resolution is limited to presenting a list of criteria to be taken into account for setting the sanctioning type. Thus, as can be seen in the seventh recitation of the Proposal for Resolution, in the present file "the existence of a very serious infringement (art. 62.4.b of the LDC) has been declared, which may be sanctioned with a fine of up to 10% of the total turnover of the infringing company in the financial year immediately preceding the imposition of the fine (art. 63.1.c), that is, the financial year 2023."</w:t>
      </w:r>
    </w:p>
    <w:p>
      <w:r>
        <w:t xml:space="preserve">(386) Next, between paragraphs 364 and 373 of the Proposal for Resolution, the DC collects the aspects taken into account to establish the sanctioning type. Specifically, the following was noted:  </w:t>
        <w:br/>
        <w:t xml:space="preserve">“(364) The investigated conduct is a practice prohibited by Article 2 of the LDC, whereby EÓLICA DEL ALFOZ, S.L. and, jointly and severally, its parent company BETA PARTICIPACIONES IBÉRICA, S.L., abused their dominant position in their capacity as IUN at the Villimar 220 kV node, by prioritizing the access of projects from their business group, discriminating against and expelling the projects of GLOBAL SHAULA, in the Spanish market for access and connection to the electricity transmission network at said node, from July 16, 2019, to September 22, 2021, the date on which the Resolution of the Regulatory Supervision Chamber of the CNMC estimated the access conflict CFT/DE/163/19 raised by GLOBAL SHAULA.  </w:t>
        <w:br/>
        <w:t xml:space="preserve">(365) According to the information gathered, the billing of EÓLICA DEL ALFOZ in 2023 amounts to [CONFIDENTIAL].  </w:t>
        <w:br/>
        <w:t xml:space="preserve">(366) Next, the modulation criteria provided for in Article 64 of the LDC for determining the amount of the sanction are evaluated, taking into account the characteristics of the infringement.  </w:t>
        <w:br/>
        <w:t xml:space="preserve">(367) First, regarding the characteristics of the affected market (art. 64.1.a), the infringement took place in the market for access and connection to the electricity transmission network at the Villimar 220 kV node, with effects in the related market of electricity generation.  </w:t>
        <w:br/>
        <w:t xml:space="preserve">(368) Regarding the size of the affected market (art. 64.1.a), the revenue obtained by EÓLICA DE ALFOZ in the affected market during the infringement period is [CONFIDENTIAL].  </w:t>
        <w:br/>
        <w:t xml:space="preserve">(369) Regarding the market share, the figure of the IUN would have a privileged position as a necessary processor of access to a given node of the electricity transmission network. The designation of EÓLICA DE ALFOZ as IUN of the Villimar 220 kV node implied a dominant position in access to the node, and therefore, at the same time, the special responsibility to ensure a processing that is not only joint and coordinated but also equal and non-discriminatory, given that it is an exception to the general rule of individual access requests.  </w:t>
        <w:br/>
        <w:t xml:space="preserve">(370) The geographical market affected by the infringements is that of the location of the node (art. 64.1.c).  </w:t>
        <w:br/>
        <w:t xml:space="preserve">(371) The duration of the conduct (art. 64.1.d), which lasted from July 16, 2019, to September 22, 2021, inclusive, spans 26 months.  </w:t>
        <w:br/>
        <w:t xml:space="preserve">(372) Regarding the possible effects of the infringement on consumers and economic operators and the illicit benefit (art. 64.1.e), the conduct had the actual effect of expelling GLOBAL SHAULA from the electricity transmission network access market, this situation being maintained until the SSR issued the Resolution dated September 22, 2021, estimating the conflict CFT/DE/163/19 raised by the affected party itself.  </w:t>
        <w:br/>
        <w:t>(373) Regarding aggravating and mitigating circumstances, this Competition Directorate does not appreciate mitigating or aggravating circumstances that should be taken into account according to Article 64 LDC for setting the amount of the sanction." (emphasis added).</w:t>
      </w:r>
    </w:p>
    <w:p>
      <w:r>
        <w:t xml:space="preserve">(387) Therefore, the DC details how the specific characteristics of the sanctioned infringement fit the criteria indicated in the law for establishing the sanctioning type.  </w:t>
        <w:br/>
        <w:t xml:space="preserve">(388) Secondly, ALFOZ considers that the proposed sanctioning type is disproportionate compared to other sanctioning files related to infringements of Article 2 of the LDC. In this regard, the first thing that is necessary to highlight is that each file is unique and that the comparison between them is not valid for the assessment of the proposed sanctioning type. The rejection of this allegation is in line with European and national jurisprudence, as comparison between files is not permissible. The National Court explained this in its judgment of December 19, 2023, as follows:  </w:t>
        <w:br/>
        <w:t>“(...) we agree with the contested resolution that the legality of the sanctioning type applied to a company cannot be determined by comparison with that of other companies sanctioned in the same or another file, since to reach this conclusion it would be necessary to prove that in the compared cases the concurrent circumstances are identical, evidence that has not been provided in the case we are examining.”</w:t>
      </w:r>
    </w:p>
    <w:p>
      <w:r>
        <w:t xml:space="preserve">(389) As ALFOZ rightly points out, the concurrent circumstances in its case are not identical to the files used in the comparison and, therefore, these files cannot be taken into consideration for the purpose of assessing the proposed sanction.  </w:t>
        <w:br/>
        <w:t xml:space="preserve">(390) Additionally, it should be noted that the comparison made in the allegations with file S/0003/23 LUMINORA is not correct. Thus, in the cited file, an abuse of a dominant position was sanctioned that lasted 11 months and had a national scope. In the present file, ALFOZ is sanctioned for an infringement whose duration is 26 months (despite the allegations regarding a shorter duration of the conduct, which have already been addressed previously) and which has also had national scope. In this context, in the first file, a sanctioning type of 3% was set, while in the case being analyzed here, the proposed sanctioning type amounted to 3.5%. Therefore, the assertion that a lower sanctioning type has been set for a longer duration and scope infringement cannot be accepted.  </w:t>
        <w:br/>
        <w:t xml:space="preserve">(391) In addition to the above, the DC has conducted a proportionality analysis of the sanction. As noted in paragraphs 376 and 375 of the Proposal for Resolution, despite establishing a sanctioning type appropriate to the characteristics of the sanctioned infringement, the sanction in euros could be disproportionate when compared to the actual dimension of the conduct. Therefore, the DC conducts a check on the proportionality of the proposed sanction.  </w:t>
        <w:br/>
        <w:t xml:space="preserve">(392) To carry out any assessment of the proportionality of the sanction, it is necessary to use as a reference a percentage of the billing in the affected market during the infringement that reflects the potential benefit derived from the conduct and apply to that figure an incremental factor that ensures deterrence. This estimate is used as a reference value, above which it is considered that the fine could be disproportionate.  </w:t>
        <w:br/>
        <w:t xml:space="preserve">(393) In this case, the proportionality assessment reflected that the sanction in euros derived from multiplying the sanctioning type by the total turnover in the year prior to the imposition of the sanction did not result in a disproportionate sanction to the actual dimension of the conduct.  </w:t>
        <w:br/>
        <w:t xml:space="preserve">(394) The allegations of ALFOZ regarding the errors made by the Competition Directorate in assessing the effects and the illicit benefit of the infringement cannot be accepted either.  </w:t>
        <w:br/>
        <w:t xml:space="preserve">(395) Regarding the non-existence of effects derived from the infringement, it is not true that the conduct had no impact, as ALFOZ attempts to argue, since as a consequence of its conduct, GLOBAL SHAULA was left, albeit temporarily, without access to the node affected by the conduct. And only thanks to the action of the CNMC, which ordered the proceedings to be reverted, was the correct functioning of the market restored. Therefore, the conduct had the actual effect of delaying GLOBAL SHAULA's access to the market, and the conduct would have caused a greater impact without the interposition of the access conflict CFT/DE/163/19 and its resolution.  </w:t>
        <w:br/>
        <w:t>(396) On the other hand, ALFOZ states that it has not obtained any illicit benefit derived from the conduct. According to the company, the DC would have taken into account the illicit benefit in paragraph 376. However, in this paragraph, the verification is explained.</w:t>
      </w:r>
    </w:p>
    <w:p>
      <w:r>
        <w:rPr>
          <w:b/>
        </w:rPr>
        <w:t>[Pages 97–99]</w:t>
      </w:r>
    </w:p>
    <w:p>
      <w:r>
        <w:t xml:space="preserve">S/0011/23  </w:t>
        <w:br/>
        <w:t>EÓLICA DE ALFOZ</w:t>
      </w:r>
    </w:p>
    <w:p>
      <w:r>
        <w:t xml:space="preserve">of the proportionality of the sanctions. In this context, when referring to illicit benefit, the DC attempts to calculate a reference value to determine whether the sanction in euros, calculated as the product of the sanctioning rate and the turnover of the sanctioned company, is proportional to the actual dimension of the conduct. It aims to establish a parameter that allows for consideration of the possible disproportionality of the conduct, thus referring to a purely potential illicit benefit, that is, to the benefits that an analogous wind farm could have produced during the infringement period. Therefore, ALFOZ's allegations in this regard cannot be taken into account.  </w:t>
        <w:br/>
        <w:t xml:space="preserve">(397) Finally, ALFOZ considers that the calculation of the sanction is based on an erroneous premise, as its turnover should be reduced by the income derived from the remuneration for investment and the income from adjustments for deviations from the market price.  </w:t>
        <w:br/>
        <w:t xml:space="preserve">(398) However, for the calculation of the sanctions, the total worldwide turnover of the sanctioned company is taken into account, as indicated by the LDC. This is because the turnover or revenue of a company, as it appears in its annual accounts, and which has also been provided by the company in this file, offers an objective reference of its payment capacity, without considering accounting decisions that it may take. Therefore, it is the correct figure to be considered for the calculation of the final amount in euros. Thus, ALFOZ's arguments in this regard cannot be accepted.  </w:t>
        <w:br/>
        <w:t xml:space="preserve">6.2. Fine  </w:t>
        <w:br/>
        <w:t xml:space="preserve">(399) The set of factors outlined above – severity of the infringement, characteristics and dimension of the affected market, duration, geographical scope of the conduct, effects, absence of aggravating and mitigating factors – allows for the specification of the sanctioning rate that corresponds to apply to the infringing entity at 3.5%, within the range provided in Article 63.1 of the LDC.  </w:t>
        <w:br/>
        <w:t xml:space="preserve">(400) This sanctioning rate is appropriate to the severity and characteristics of the infringement. However, jurisprudence requires considering the dimension of the specific infringement as a necessary reference to ensure the proportionality and deterrence of the fines.  </w:t>
        <w:br/>
        <w:t xml:space="preserve">(401) To carry out any assessment of proportionality, it is necessary to use as a reference a percentage of the turnover in the affected market during the infringement and apply to that figure an incremental factor that ensures deterrence. This estimate is used as a reference value, above which it is considered that the fine could be disproportionate. Based on the calculations made, it is considered that the fine that should be imposed on EÓLICA DE ALFOZ for the infringement, derived from applying the sanctioning rate on the total turnover of the infringing company in 2024, does not run the risk of being disproportionate in relation to the actual dimension of the infringement.  </w:t>
        <w:br/>
        <w:t xml:space="preserve">(402) Therefore, it is concluded that the appropriate and deterrent sanction to be imposed amounts to 958,593 euros.  </w:t>
        <w:br/>
        <w:t xml:space="preserve">7. APPLICATION OF THE PROHIBITION TO CONTRACT  </w:t>
        <w:br/>
        <w:t xml:space="preserve">7.1. Declaration of the prohibition to contract  </w:t>
        <w:br/>
        <w:t xml:space="preserve">(403) Article 71.1.b) of Law 9/2017, of November 8, on Public Sector Contracts (LCSP)291 establishes that individuals – both legal and natural292 – who have been definitively sanctioned (administrative firmness293 suffices) for serious infringement in the area of distortion of competition294 are subject to the prohibition of contracting with entities that are part of the public sector.  </w:t>
        <w:br/>
        <w:t xml:space="preserve">(404) Although the literal wording of this provision does not expressly refer to "serious" infringements, it is evident that it also applies to the291 Article 71.1.b) of Law 9/2017, of November 8, on Public Sector Contracts (LCSP): “Having been definitively sanctioned for serious infringement in professional matters that call into question their integrity, market discipline, distortion of competition, labor integration, and equality of opportunities and non-discrimination of persons with disabilities, or foreign matters, in accordance with the provisions of current regulations; or for very serious infringement in environmental matters in accordance with current regulations, or for very serious infringement in labor or social matters, in accordance with the provisions of the consolidated text of the Law on Offenses and Penalties in the Social Order, approved by Royal Legislative Decree 5/2000, of August 4, as well as for the serious infringement provided for in Article 22.2 of the aforementioned text; or for very serious infringements provided for in Law 2/2023, of February 20, regulating the protection of persons who report regulatory infringements and combat corruption; or for serious or very serious infringement in matters of equal treatment and non-discrimination on grounds of sexual orientation and identity, gender expression, or sexual characteristics, when the prohibition is agreed upon in the terms provided in Law 4/2023, of February 28, for the real and effective equality of trans persons and for the guarantee of the rights of LGTBI persons.”  </w:t>
        <w:br/>
        <w:t xml:space="preserve">292 In its section 16, the Communication on the prohibition to contract due to distortion of competition states: “Article 71.1, section b) indicates that ‘persons’ who have been definitively sanctioned for ‘serious’ infringement of distortion of competition cannot contract with the entities provided for in Article 3 of the Public Sector Contracts Law, without distinguishing whether they are natural or legal persons.”  </w:t>
        <w:br/>
        <w:t xml:space="preserve">293 Judgment of the Supreme Court of September 14, 2021, appeal 6372/2020, FD3º (ECLI:ES:TS:2021:3366): “There is no reason to understand that the ‘firmness’ of the sanctioning resolutions referred to in Article 71.1.b) of the LCSP must refer to judicial firmness. Sanctioning resolutions, firm in the administrative route, are executive and deploy all their effects, including communication to the Contracting Board to determine the duration and scope of the prohibition to contract.”  </w:t>
        <w:br/>
        <w:t xml:space="preserve">294 See, for example, the Resolution of file S/DC/0598/16, Resolution of March 14, 2019, Electrification and Railway Electromechanics. Furthermore, in the aforementioned resolution it was indicated: “although the legal nature of the prohibitions to contract has been discussed and has led to a jurisprudential line that is not always peaceful, it can be accepted that these, not being sanctions in the strict sense, have the character of acts restricting rights, which requires taking into account certain aspects or principles of the sanctioning regime, which have been respected in this procedure. Against the limiting or restrictive aspect of the rights of the potential contractor, the legal requirement of a singular condition or honorability to contract with the public sector is also noted, which should allow the entities that comprise it to exclude from their contractual relationships those subjects who do not meet that level of demand.”  </w:t>
        <w:br/>
        <w:t xml:space="preserve">S/0011/23  </w:t>
        <w:br/>
        <w:t xml:space="preserve">EÓLICA DE ALFOZ  </w:t>
        <w:br/>
        <w:t xml:space="preserve">infringements of competition classified as “very serious” by Article 62 of the LDC, as this Chamber has been doing since the introduction of the prohibition to contract in the Spanish legal system by the ninth final provision of Law 40/2015, of October 1, on the Legal Regime of the Public Sector, which amended Articles 60 and 61 of the then-current consolidated text of the Public Sector Contracts Law (LRJSP) - approved by Royal Legislative Decree 3/2011, of November 14 - whose entry into force took place on October 22, 2015295.  </w:t>
        <w:br/>
        <w:t xml:space="preserve">(405) An interpretation to the contrary, which would consider that the aforementioned prohibition to contract is exclusively applicable to “serious” infringements but not to “very serious” ones, would lead to the absurdity that less serious infringements – from the perspective of competition law – would be exposed to one of the most burdensome restrictive measures of rights, while the most harmful anticompetitive offenses would remain outside the prohibition to contract, as pointed out in Communication 1/2023, of June 13, from the CNMC on criteria for determining the prohibition to contract due to distortion of competition296 (hereinafter, the Communication on the prohibition to contract).  </w:t>
        <w:br/>
        <w:t xml:space="preserve">(406) It should also be noted that the prohibition to contract in Article 71.1 of the LCSP applies regardless of whether the infringing conduct classified as serious or very serious has a direct impact on public contracting, as the LCSP neither expressly states nor allows for any inference regarding this requirement297.  </w:t>
        <w:br/>
        <w:t xml:space="preserve">(407) In short, it cannot be considered that there is a limitation on the type of anticompetitive conduct that may be subject to a prohibition to contract, as long as it is classified, at least, as serious by the LDC.  </w:t>
        <w:br/>
        <w:t xml:space="preserve">(408) This resolution, which concludes the sanctioning procedure S/0011/23 EÓLICA DE ALFOZ and against which no administrative appeal can be made, declares the responsibility of the company ALFOZ for an abuse of a dominant position under Article 2 of the LDC classified as “very serious” by Article 62.4 of the LDC. This infringement extends, in its entirety, over a period subsequent to October 22, 2015, and is therefore included within the infringements295 Final provision eighteenth of Law 40/2015, of October 1.  </w:t>
        <w:br/>
        <w:t xml:space="preserve">296 Communication 1/2023, of June 13, from the National Commission of Markets and Competition, on criteria for determining the prohibition to contract due to distortion of competition by the National Commission of Markets and Competition, Communication AJ/02/22, (published in the BOE No. 155 of June 30, 2023) https://www.boe.es/diario_boe/txt.php?id=BOE-A-2023-15272 (Communication on the prohibition to contract).  </w:t>
        <w:br/>
        <w:t>297 See, for example, in this regard, the resolutions of this Chamber of October 1, 2019, in file S/DC/0612/17 Industrial Assembly and Maintenance or of January 12, 2021, in file S/DC/260/17 Solid Fuels.</w:t>
      </w:r>
    </w:p>
    <w:p>
      <w:r>
        <w:rPr>
          <w:b/>
        </w:rPr>
        <w:t>[Pages 100–102]</w:t>
      </w:r>
    </w:p>
    <w:p>
      <w:r>
        <w:t xml:space="preserve">S/0011/23  </w:t>
        <w:br/>
        <w:t>EÓLICA DE ALFOZ</w:t>
      </w:r>
    </w:p>
    <w:p>
      <w:r>
        <w:t xml:space="preserve">subject to the objective and temporal scope of the prohibition on contracting298.  </w:t>
        <w:br/>
        <w:t>(409) In light of all the above, ALFOZ must be subject to the prohibition on contracting established in Article 71.1.b) of the LCSP.</w:t>
      </w:r>
    </w:p>
    <w:p>
      <w:r>
        <w:t xml:space="preserve">7.2. Scope and Duration of the Prohibition on Contracting  </w:t>
        <w:br/>
        <w:t xml:space="preserve">7.2.1. Principles and Guiding Criteria for Determining the Scope and Duration of the Prohibition on Contracting  </w:t>
        <w:br/>
        <w:t xml:space="preserve">(410) The Supreme Court has specified that the prohibition on contracting is a limitation tied to the imposition of a firm sanction that only takes effect from the moment its specific scope and duration are established299.  </w:t>
        <w:br/>
        <w:t xml:space="preserve">(411) The Supreme Court has also confirmed that this scope and duration can be established in two ways: (i) in the sanctioning resolution itself300 or, failing that, (ii) by the Minister of Finance and Public Function, upon proposal from the State Public Procurement Advisory Board or the competent bodies in the Autonomous Communities through the procedure established for this purpose in Article 72 of the LCSP.  </w:t>
        <w:br/>
        <w:t xml:space="preserve">(412) In this regard, the High Court of Justice of Catalonia has pointed out that it is the competition authority that adopts the sanctioning resolution that is best empowered to define - with respect to each specific infringement - the set of legal consequences that serve the principles of effectiveness, deterrence, and proportionality required by European regulations and internal law, including the prohibition on contracting, a power that implicitly includes the authority to rule on its scope and duration301.  </w:t>
        <w:br/>
        <w:t xml:space="preserve">(413) In this context, the CNMC's Communication on the prohibition on contracting aims to inform about the guiding criteria that should guide the actions of this body when determining the duration and scope of the prohibition on contracting in those files where, as is the case here, its establishment is warranted “thus providing the necessary legal certainty to operators and ensuring transparency in administrative action”302. Also for the sake of legal certainty, this Communication on the prohibition on contracting provides that such criteria shall apply only to sanctioning procedures initiated after its publication303 on June 30, 2023. The present sanctioning file is the first to be resolved, initiated after that date, and therefore the first in which the CNMC establishes the specific scope and duration of the prohibition on contracting provided for in Article 71.1 of the LCSP.  </w:t>
        <w:br/>
        <w:t xml:space="preserve">(414) The Communication on the prohibition on contracting warns that it can essentially establish with which administrations or public sector entities the infringing subject will not be able to contract, in which territories and areas, and for how long within the maximum duration of 3 years provided for in Article 72.6 of the LCSP304.  </w:t>
        <w:br/>
        <w:t xml:space="preserve">(415) For these purposes, the Communication on the prohibition on contracting provides that the CNMC must take into account certain general principles305 such as the principle of legal certainty306 and the need to ensure a proportionate balance between, on the one hand, the effectiveness and deterrent power of the prohibition on contracting and, on the other hand, the effects on the market resulting from the exclusion of the infringers to whom this measure applies.  </w:t>
        <w:br/>
        <w:t xml:space="preserve">(416) Next, the Communication on the prohibition on contracting refers to a series of “guiding”307 parameters that include the geographic market in which the infringement occurred308; the product market affected by the infringement309; the duration of the infringement310; the severity of the infringement311 and the degree of participation of the infringing subject in the infringement312. The main considerations relevant to the present file made by the Communication on the prohibition on contracting regarding these “guiding parameters” are summarized below:  </w:t>
        <w:br/>
        <w:t xml:space="preserve">a) “Geographic Scope”  </w:t>
        <w:br/>
        <w:t xml:space="preserve">(417) The geographic market where the infringement occurred will generally be taken as the main reference when defining the geographic perimeter to which the prohibition must be confined: “However, attention must be paid to the specific circumstances presented by each file, which may justify the definition of a smaller or larger scope. Indeed, it cannot be ruled out that the scope could exceed that market considering the degree of involvement and active linkage of other entities of the same business group in the sanctioned practices, including the parent companies responsible for the infringement, which could determine that the geographic scope was greater than that of the specific practice, either by affecting entities of that scope or because the conduct originated in decision-making bodies of those other entities”313.  </w:t>
        <w:br/>
        <w:t xml:space="preserve">b) “Product Scope”  </w:t>
        <w:br/>
        <w:t xml:space="preserve">(418) Generally, the product market (good or service) affected by the infringement will be taken as the main reference when defining the material perimeter of the contracting to which the prohibition must be confined314. However, the scope affected by the prohibition on contracting may be greater or lesser if circumstances in the file allow for the necessity of a different perimeter315. While the products or services affected by the infringement should, in principle, be included in the prohibition on contracting, it cannot be ruled out in certain cases that other products that may be contracted by the administration with the legal entities of the same group involved in the conduct, including the parent companies, may also be included. Likewise: Resolution of the ACCO, of December 23, 2019, file 94/2018 Bids for the Meteorological Service of Catalonia resolves “To impose, in accordance with the Eleventh Legal Basis of this Resolution and Article 53.2.b) of the LDC, the prohibition on contracting on the companies MCV, S. A. and ADASA SISTEMAS, SAU, in the bids called by the Meteorological Service of Catalonia, which have as their object the installation of radars and/or meteorological stations and the maintenance and/or supply of parts or replacements for the meteorological radar network of Catalonia (XRAD) and the meteorological stations network of Catalonia (XEMA), for 18 months”. The Resolution of the Catalan Competition Authority (ACCO) aligns the scope of the prohibition on contracting with the product market of the infringement.  </w:t>
        <w:br/>
        <w:t>315 It should be noted, for example, the case of the facilitator, who operates in a market different from that affected by the infringement. In this case, the determination of the scope of the prohibition could consider the market where it carries out its activity and not the market affected by the infringement.</w:t>
      </w:r>
    </w:p>
    <w:p>
      <w:r>
        <w:rPr>
          <w:b/>
        </w:rPr>
        <w:t>[Pages 103–105]</w:t>
      </w:r>
    </w:p>
    <w:p>
      <w:r>
        <w:t xml:space="preserve">S/0011/23  </w:t>
        <w:br/>
        <w:t>EÓLICA DE ALFOZ</w:t>
      </w:r>
    </w:p>
    <w:p>
      <w:r>
        <w:t xml:space="preserve">prohibition to contract, it cannot be ruled out that, in certain cases, the prohibition may affect other products or services produced or offered by legal entities of the same group actively involved in the conduct, including the parent companies316.  </w:t>
        <w:br/>
        <w:t xml:space="preserve">c) “Duration of the infringement”  </w:t>
        <w:br/>
        <w:t xml:space="preserve">(419) The duration of the infringement constitutes an objective circumstance that must guide the determination of the temporal scope of the prohibition. In this regard, it is possible to establish a rule of proportionality between the duration of the infringement committed and the duration of the prohibition to contract. However, inevitably, from a very extensive period of infringement, the duration of the prohibition to contract would be maximum and therefore from there, it would break this criterion of proportionality”317.  </w:t>
        <w:br/>
        <w:t xml:space="preserve">d) “Severity of the infringement” and “degree of participation”  </w:t>
        <w:br/>
        <w:t xml:space="preserve">(420) The severity of the infringement, due to its legal qualification and its economic impact (for example, in terms of the volume of the market affected by it) can be reflected in a longer duration318.  </w:t>
        <w:br/>
        <w:t xml:space="preserve">(421) The degree of participation should also be taken into account, considering the aggravating and mitigating circumstances in the development of conduct by the infringer in accordance with the provisions of Article 64 of the LDC319.  </w:t>
        <w:br/>
        <w:t xml:space="preserve">(422) It is emphasized, in this regard, that it will be necessary to ensure the balance between the principles of deterrence, effectiveness, and proportionality, so that the prohibition to contract is not applied indiscriminately. It should not be forgotten that the prohibition to contract due to distortion of competition could reduce, or even eliminate, in the most extreme cases, competition in the market320.  </w:t>
        <w:br/>
        <w:t xml:space="preserve">(423) Once these criteria have been addressed in general terms, it is appropriate to determine the objective and temporal scope of the prohibition to contract that, in consideration of the same, must be imposed on ALFOZ.  </w:t>
        <w:br/>
        <w:t xml:space="preserve">7.2.2. Application to the specific case  </w:t>
        <w:br/>
        <w:t xml:space="preserve">a) Geographic scope  </w:t>
        <w:br/>
        <w:t xml:space="preserve">(424) Although the behaviors subject to this file were carried out in a limited geographic market (market for access and connection to the electricity transmission network through the Villimar 220 kV Node), they affected other related markets, particularly the electricity generation market whose geographic dimension, in the case of Spain, corresponds to the national peninsular territory.  </w:t>
        <w:br/>
        <w:t xml:space="preserve">(425) It should also be noted that, although the behaviors in question do not have a significant economic impact in terms of the volume of the affected market, access to the electricity transmission network is strategic due to its relevance for the proper functioning of the national electricity market, which uniformly guarantees the right of access to the national transmission network and a market of multiple agents in a single network system321.  </w:t>
        <w:br/>
        <w:t xml:space="preserve">(426) For all these reasons, this Chamber considers that the prohibition to contract applicable to ALFOZ must have a geographic dimension of national scope.  </w:t>
        <w:br/>
        <w:t xml:space="preserve">b) Material scope  </w:t>
        <w:br/>
        <w:t xml:space="preserve">(427) According to the background of this resolution, on December 18, 2024, this Chamber adopted an agreement regarding the scope of the prohibition to contract proposed by the DC, which was worded in the Proposal for Resolution as follows: “the Competition Directorate proposes the imposition on BETA and ALFOZ of respective prohibitions to contract in the scope of the entire public sector (contracts for works, concession of works, supply and services of Article 12 of the LCSP as well as contracts subject to harmonized regulation of Article 19 of the LCSP) in the market for access and connection to the national electricity transmission network and with a duration of 12 months.”  </w:t>
        <w:br/>
        <w:t xml:space="preserve">(428) This Chamber's agreement clarified the scope of the fixation proposed by the DC in the following terms: “considering the characteristics and severity of the infringement -which the DC rightly exposes in the Proposal for Resolution- and, in the interest of legal certainty, this Chamber understands that it would be appropriate to impose on ALFOZ and BETA a prohibition to contract of 12 months with the entire Spanish public sector, but without the limitation regarding contracting in the market for access and connection” to the national electricity transmission network.  </w:t>
        <w:br/>
        <w:t xml:space="preserve">(429) In its allegations of January 15, 2025, regarding the aforementioned agreement of December 18, 2024, ALFOZ reproached a violation (i) of the principle of legal certainty by imposing a prohibition to contract “determined in its duration, but indefinite or indeterminate in its scope (both of product and geographic)322, as well as (ii) of the principle of proportionality because no “exercise of weighting would have been carried out and it aggravates the prohibition to contract proposed by the PR”323 considering that it is appropriate to impose on ALFOZ a prohibition to contract with the entire Spanish public sector but without the limitation regarding contracting in the market for access and connection to the national electricity transmission network that appeared in the Proposal for Resolution.  </w:t>
        <w:br/>
        <w:t xml:space="preserve">(430) This Chamber does not share such arguments.  </w:t>
        <w:br/>
        <w:t xml:space="preserve">(431) Regarding the alleged violation of the principle of legal certainty, ALFOZ confuses a broad scope with an “undefined” scope. The Chamber's agreement of December 18, 2024 refers to “a prohibition to contract of 12 months with the entire Spanish public sector” (emphasis added). This limitation allows for a clear understanding that the prohibition will be projected over the entire Spanish public sector, throughout the national territory and regarding any product or service. The Chamber's agreement explained, in fact, that the removal of the limitation to the “market for access and connection to the electricity transmission network” was made, precisely, in the interest of legal certainty, to avoid the indefiniteness that such delimitation implied, given that the contracting carried out in the referred market is not subject to the LCSP.  </w:t>
        <w:br/>
        <w:t xml:space="preserve">(432) It cannot be considered, in principle, that a prohibition to contract affecting the entire Spanish public sector has a necessarily indeterminate or disproportionate scope according to public procurement regulations. On the contrary, Article 71.1.b) of the LCSP establishes that companies definitively sanctioned for serious infringement in competition law “may not contract with the entities provided for in Article 3 of this Law” which are precisely all those that “are part of the public sector” as defined in that provision.  </w:t>
        <w:br/>
        <w:t xml:space="preserve">(433) It is clear, therefore, that, without prejudice to the possibility of limiting the scope of the prohibition to contract to specific markets or bodies, it can be imposed regarding the entire public sector if, considering the effect that this may imply for competition in the market, the application of such prohibition is not disproportionate in the specific case.  </w:t>
        <w:br/>
        <w:t>(434) Note, in this regard, that the Superior Court of Justice of Galicia, in its judgment of October 3, 2022324, did not consider a prohibition to contract imposed by the competition authority of that autonomous community affecting “any supply contract” to be disproportionate.</w:t>
      </w:r>
    </w:p>
    <w:p>
      <w:r>
        <w:rPr>
          <w:b/>
        </w:rPr>
        <w:t>[Pages 106–108]</w:t>
      </w:r>
    </w:p>
    <w:p>
      <w:r>
        <w:t xml:space="preserve">S/0011/23  </w:t>
        <w:br/>
        <w:t xml:space="preserve">EÓLICA DE ALFOZ  </w:t>
        <w:br/>
        <w:t xml:space="preserve">called by any public administration of Galicia”325 (emphasis added). Likewise, in its judgment No. 4/2025 of February 5, 2025 (PO 1/2023), the Criminal Chamber of the National Court imposed a general prohibition on contracting for the entire public sector, in relation to a series of "collusive practices" classified as a crime of price alteration in public tenders under Article 262 of the Penal Code approved by Organic Law 10/1995, of November 23.  </w:t>
        <w:br/>
        <w:t xml:space="preserve">(435) A prohibition on contracting with the entire public sector for serious or very serious violations of competition law may be appropriate in various cases. For example, in cases where the violation and the specific participation of the sanctioned company are particularly serious and limiting the scope to the affected market or other related markets in which the company operates is not suitable in terms of effectiveness or deterrent effect of the prohibition to contract under Article 71 of the LCSP. This alternative may also be suitable in scenarios where there are no specific references for applying the guiding parameter referred to in the Communication on the prohibition to contract as "scope of product (good or service)" because the sanctioned behaviors do not affect public contracts or even because the market in which the effects of the violation occur or are projected is unrelated to contracting regulated by the LCSP. This latter scenario is precisely the one present in this case, given that neither the market for access and connection to the electricity transmission network nor the generation market, in which ALFOZ operated or operates, is subject to the LCSP.  </w:t>
        <w:br/>
        <w:t xml:space="preserve">(436) Notwithstanding this, and in the interest of greater thoroughness, this Chamber has conducted an exercise to identify sectors or activities in which, (i) considering its corporate purpose, ALFOZ could develop an activity and in which (ii) some type of contracting subject to the LCSP occurs.  </w:t>
        <w:br/>
        <w:t xml:space="preserve">(437) In addition to the "production326, transportation, and distribution of wind energy," the corporate purpose of ALFOZ includes: "the organization and operation of activities and businesses related to the research and analysis of wind resources, marketing, design, construction, manufacturing, operation, maintenance, and exploitation of wind power plants and their equipment"327.  </w:t>
        <w:br/>
        <w:t xml:space="preserve">(438) Certain public tenders related to consulting, manufacturing, and maintenance of wind infrastructure have been identified regarding some of these activities, which, considering the aforementioned corporate purpose of ALFOZ, could potentially be developed by this company328.  </w:t>
        <w:br/>
        <w:t xml:space="preserve">(439) Therefore, this Chamber considers it appropriate to limit its material scope to contracts for works, supplies, and services related to consulting, construction, operation, exploitation, and maintenance of wind farms and their equipment.  </w:t>
        <w:br/>
        <w:t xml:space="preserve">g) Duration of the prohibition to contract  </w:t>
        <w:br/>
        <w:t xml:space="preserve">(440) Unlike what ALFOZ argued in its allegations to the Proposal for Resolution, the sanctioned violation is not isolated, but rather, as previously stated, it is a single and continuous violation that extends for at least 26 months (from July 16, 2019, to September 22, 2021, both inclusive). This infringing period exceeds two-thirds of the maximum duration of the prohibition to contract under Article 71.1 of the LCSP.  </w:t>
        <w:br/>
        <w:t xml:space="preserve">(441) However, considering that, in this case, the violation would not have had, a priori, a considerable direct effect on public contracting, as it occurred and projected its effects in markets without activities directly regulated by the LCSP and that the sanctioning type has been set in the lower half of the maximum of 10% provided for very serious violations of the LDC, it is deemed more appropriate to set a temporal scope of 6 months.  </w:t>
        <w:br/>
        <w:t xml:space="preserve">g) Impact of the measure on public contracting in the markets affected by the prohibition  </w:t>
        <w:br/>
        <w:t xml:space="preserve">(442) As specified in the Communication on the prohibition to contract, the parameters of section 4.2 are merely indicative and the determination of the duration and scope of the prohibition to contract must be made considering the particularities of each specific case. What must be guaranteed in all cases is an adequate proportionality between, on the one hand, the effectiveness and deterrent effect of the PdC and, on the other hand, the impact of the measure on the markets.  </w:t>
        <w:br/>
        <w:t xml:space="preserve">(443) Given that, as indicated and as far as it has been possible to ascertain, ALFOZ has not recently participated in public tenders, a prohibition to contract lasting 6 months regarding contracts for works, supplies, and services related to consulting, construction, operation, and maintenance of wind farms and their equipment would not be likely to produce a disproportionate impact on the public contracting potentially subject to such prohibition.  </w:t>
        <w:br/>
        <w:t xml:space="preserve">328 For example: City Council of Gáldar – 3152/2022: "Supply, installation, and commissioning of a 0.8 MW wind turbine (Botija-Gáldar Park, Phase 2)"; Cabildo of Fuerteventura – OB0013/20: "Works for lighting FV-2 and related work with wind installations"; Cabildo of Lanzarote – CL/0087/2019: "Service for operation and maintenance of the Los Valles Wind Farm (Teguise)"; Cabildo of Lanzarote – 1637/2024: "Service for preventive, predictive, and corrective maintenance of the Punta Grande Wind Farm (4.6 MW)"; Technological Institute of the Canary Islands – 1083/2024: "Services for operation and maintenance of the Manchas Blancas Wind Farm (La Palma)" (previous announcement).  </w:t>
        <w:br/>
        <w:t xml:space="preserve">S/0011/23  </w:t>
        <w:br/>
        <w:t xml:space="preserve">EÓLICA DE ALFOZ  </w:t>
        <w:br/>
        <w:t xml:space="preserve">7.3. Exemption from the prohibition to contract  </w:t>
        <w:br/>
        <w:t xml:space="preserve">(444) National regulations, incorporating the European directives on the matter, establish instruments available to companies to avoid being excluded from contracting procedures through self-correction or "self-cleaning" measures.  </w:t>
        <w:br/>
        <w:t xml:space="preserve">(445) In this regard, the Communication on the prohibition to contract states that according to Article 72.5 of the LCSP: "the prohibition to contract shall not be declared when, during the hearing process, the person involved in the cause of prohibition proves the following circumstances cumulatively: The payment or commitment to pay the fine set in the administrative resolution from which the cause of prohibition to contract derives, provided that the aforementioned persons have been declared responsible for its payment in the aforementioned resolution; The adoption of appropriate technical, organizational, and personnel measures to prevent the commission of future administrative violations, among which will be included adherence to the leniency program regarding competition distortion"329.  </w:t>
        <w:br/>
        <w:t xml:space="preserve">(446) In the present case, ALFOZ has not informed the CNMC of the adoption of the aforementioned measures. Nor has it committed to the payment of the fine that may result from this resolution. Therefore, the exemption from the prohibition to contract contemplated in Article 72.5 of the LCSP cannot be considered.  </w:t>
        <w:br/>
        <w:t xml:space="preserve">7.4. Conclusions regarding the prohibition to contract  </w:t>
        <w:br/>
        <w:t xml:space="preserve">(447) It is appropriate to impose on ALFOZ the prohibition to contract provided for in Article 71.1.b) of the LCSP, throughout the national territory, regarding the entire public sector330, for contracts for works, supplies, and services related to consulting, construction, operation, exploitation, and maintenance of wind farms and their equipment, for a duration of 6 months.  </w:t>
        <w:br/>
        <w:t xml:space="preserve">(448) Given that this resolution defines its specific scope and duration, this prohibition to contract will take effect immediately, without prejudice to its possible challenge and precautionary suspension before the contentious-administrative jurisdiction.  </w:t>
        <w:br/>
        <w:t xml:space="preserve">Based on all the above, this Chamber  </w:t>
        <w:br/>
        <w:t xml:space="preserve">329 Communication on the prohibition to contract, paragraph 39.  </w:t>
        <w:br/>
        <w:t>330 Entities included in Article 3 LCSP.</w:t>
      </w:r>
    </w:p>
    <w:p>
      <w:r>
        <w:rPr>
          <w:b/>
        </w:rPr>
        <w:t>[Pages 109–109]</w:t>
      </w:r>
    </w:p>
    <w:p>
      <w:r>
        <w:t xml:space="preserve">S/0011/23  </w:t>
        <w:br/>
        <w:t>EÓLICA DE ALFOZ</w:t>
      </w:r>
    </w:p>
    <w:p>
      <w:r>
        <w:t>8. RESOLVES</w:t>
      </w:r>
    </w:p>
    <w:p>
      <w:r>
        <w:t>First. Declare the existence of a very serious infringement of Article 2 of the LDC, constituting an abuse of a dominant position by EÓLICA DEL ALFOZ, S.L., in its capacity as IUN designated at the Villimar 220 kV node, consisting of providing discriminatory treatment to a third operator when processing its access requests in the Spanish market for access and connection to the electricity transmission network at said node.</w:t>
      </w:r>
    </w:p>
    <w:p>
      <w:r>
        <w:t>Second. Declare EÓLICA DEL ALFOZ, S.L. responsible for said infringement, in its capacity as IUN at the Villimar 220 kV node, and jointly liable with its parent company, BETA PARTICIPACIONES IBÉRICA, S.L.</w:t>
      </w:r>
    </w:p>
    <w:p>
      <w:r>
        <w:t>Third. Impose a fine of 958,593 euros, for which EÓLICA DEL ALFOZ, S.L. and BETA PARTICIPACIONES IBÉRICA, S.L. shall be jointly responsible for payment.</w:t>
      </w:r>
    </w:p>
    <w:p>
      <w:r>
        <w:t>Fourth. Order EÓLICA DEL ALFOZ, S.L. to refrain in the future from engaging in conduct similar to that typified and sanctioned in this resolution.</w:t>
      </w:r>
    </w:p>
    <w:p>
      <w:r>
        <w:t>Fifth. Impose on EÓLICA DEL ALFOZ, S.L. the prohibition of contracting provided for in Article 71.1.b) of the LCSP, throughout the national territory, regarding the set of entities in the public sector331, for contracts for works, supplies, and services related to consulting, construction, operation, exploitation, and maintenance of wind farms and their equipment for a duration of 6 months, in accordance with what is stated in legal basis 7.</w:t>
      </w:r>
    </w:p>
    <w:p>
      <w:r>
        <w:t>Sixth. Urge the Directorate of Competition to monitor the full compliance with this resolution.</w:t>
      </w:r>
    </w:p>
    <w:p>
      <w:r>
        <w:t xml:space="preserve">Communicate this resolution to the Directorate of Competition of the National Commission of Markets and Competition and notify the interested parties, informing them that there is no administrative appeal against it, and that they may file a contentious-administrative appeal in the National Court within two months from the day following its notification.  </w:t>
        <w:br/>
        <w:t xml:space="preserve">331 Entities included in Article 3 LCSP.  </w:t>
        <w:br/>
        <w:t xml:space="preserve">Comisión Nacional de los Mercados y la Competencia 109 of 109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