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https://www.cnmc.es/expedientes/s001220</w:t>
      </w:r>
    </w:p>
    <w:p>
      <w:r>
        <w:t>Pages translated : 16</w:t>
      </w:r>
    </w:p>
    <w:p/>
    <w:p>
      <w:r>
        <w:rPr>
          <w:b/>
        </w:rPr>
        <w:t>[Pages 1–3]</w:t>
      </w:r>
    </w:p>
    <w:p>
      <w:r>
        <w:t>S/0012/20</w:t>
        <w:br/>
        <w:t>COMMERCIAL DATA OF COMPANIES</w:t>
        <w:br/>
        <w:t>RESOLUTION</w:t>
        <w:br/>
        <w:t>COMMERCIAL DATA OF COMPANIES</w:t>
        <w:br/>
        <w:t>S/0012/20</w:t>
        <w:br/>
        <w:t>COUNCIL. COMPETITION ROOM</w:t>
        <w:br/>
        <w:t>President</w:t>
        <w:br/>
        <w:t>Ms. Cani Fernández Vicién</w:t>
        <w:br/>
        <w:t>Councillors</w:t>
        <w:br/>
        <w:t>Ms. Pilar Sánchez Núñez</w:t>
        <w:br/>
        <w:t>Mr. Rafael Iturriaga Nieva</w:t>
        <w:br/>
        <w:t>Mr. Pere Soler Campins</w:t>
        <w:br/>
        <w:t>Ms. María Vidales Picazo</w:t>
        <w:br/>
        <w:t>Secretary of the Council</w:t>
        <w:br/>
        <w:t>Mr. Miguel Bordiu Garcia-Ovies</w:t>
        <w:br/>
        <w:t>In Madrid, on October 30, 2025.</w:t>
        <w:br/>
        <w:t>The Competition Room of the Council of the National Commission on Markets and Competition (CNMC) with the composition expressed, has issued the following resolution in the reference file following the complaint filed by QUALITY PROVIDER against the College of Property, Commercial and Real Estate Registrars of Spain (CORPME), INFORMA D&amp;B, IBERINFORM, and AXESOR for alleged violations of Articles 1 and 2 LDC.</w:t>
        <w:br/>
        <w:t>National Commission on Markets and Competition 1 of 16</w:t>
        <w:br/>
        <w:t>C/ Alcalá, 47 – 28014 Madrid - C/ Bolivia, 56 – 08018 Barcelona</w:t>
        <w:br/>
        <w:t>www.cnmc.es</w:t>
      </w:r>
    </w:p>
    <w:p>
      <w:r>
        <w:t>S/0012/20</w:t>
        <w:br/>
        <w:t>COMMERCIAL DATA OF COMPANIES</w:t>
        <w:br/>
        <w:t>TABLE OF CONTENTS</w:t>
        <w:br/>
        <w:t>1. BACKGROUND ........................................................................................ 3</w:t>
        <w:br/>
        <w:t>2. THE PARTIES .......................................................................................... 5</w:t>
        <w:br/>
        <w:t>2.1. Complainant: QUALITY PROVIDER S.A. (QUALITY PROVIDER) ............... 5</w:t>
        <w:br/>
        <w:t>2.2. Defendants: COLLEGE OF PROPERTY, COMMERCIAL AND MOVABLE</w:t>
        <w:br/>
        <w:t>ASSET REGISTRARS OF SPAIN (CORPME) and INFORMA D&amp;B, IBERINFORM, and AXESOR. .................................................. 5</w:t>
        <w:br/>
        <w:t>2.2.1. CORPME ............................................................................................................. 5</w:t>
        <w:br/>
        <w:t>2.2.2. INFORMA D&amp;B, IBERINFORM AND AXESOR........................................................ 6</w:t>
        <w:br/>
        <w:t>3. AFFECTED MARKET .............................................................................. 7</w:t>
        <w:br/>
        <w:t>4. FACTS ...................................................................................................... 7</w:t>
        <w:br/>
        <w:t>4.1. Tariffs ....................................................................................................... 7</w:t>
        <w:br/>
        <w:t>4.2. Agreements between CORPME and ASEDIE .......................................................... 8</w:t>
        <w:br/>
        <w:t>4.3. Transparency of the automated access system to registry information ........................................................................................................ 10</w:t>
        <w:br/>
        <w:t>5. LEGAL GROUNDS .................................................................................. 11</w:t>
        <w:br/>
        <w:t>5.1. Jurisdiction to resolve .............................................................................. 11</w:t>
        <w:br/>
        <w:t>5.2. Purpose of the resolution and proposal of the instructing body ..................... 11</w:t>
        <w:br/>
        <w:t>5.3. Assessment of the Competition Room ...................................................... 13</w:t>
        <w:br/>
        <w:t>6. RESOLVES ................................................................................................ 16</w:t>
        <w:br/>
        <w:t>National Commission on Markets and Competition 2 of 16</w:t>
        <w:br/>
        <w:t>C/ Alcalá, 47 – 28014 Madrid - C/ Bolivia, 56 – 08018 Barcelona</w:t>
        <w:br/>
        <w:t>www.cnmc.es</w:t>
      </w:r>
    </w:p>
    <w:p>
      <w:r>
        <w:t>S/0012/20</w:t>
        <w:br/>
        <w:t>COMMERCIAL DATA OF COMPANIES</w:t>
        <w:br/>
        <w:t>1. BACKGROUND</w:t>
        <w:br/>
        <w:t>(1) On March 25, 2020, a complaint was filed with the National Commission on Markets and Competition (“CNMC”) by the sole administrator of the company QUALITY-PROVIDER S.A, against the College of Property and Commercial Registrars of Spain (CORPME)1. The complaint alleges that CORPME is abusing its dominant position, violating Article 2 of Law 15/2007, of July 3, on the Defense of Competition (LDC).</w:t>
        <w:br/>
        <w:t>(2) Specifically, it is alleged that CORPME (through its website www.registradores.org) allows certain users to access registry information en masse, with automated access, in a processable format and possibly at a lower price, while the complainant has been denied such privileged access. The latter would be forced to make individual requests, the information would be provided exclusively in image format (non-processable), and a fee would be charged for each piece of data obtained. Additionally, a possible collusive activity within the Multisectoral Association of Information, hereinafter ASEDIE, contrary to Article 1 of the LDC, is alleged, consisting of agreements on which balances each of its members would request from CORPME, to subsequently exchange them and thus update their own databases.</w:t>
        <w:br/>
        <w:t>(3) On December 17, 2021, a request for information was made to the complainant2. The response was received on January 10, 2022, submitted via electronic headquarters.</w:t>
        <w:br/>
        <w:t>(4) On March 7 and April 28, 2022, the DC sent two requests for information to the defendant (CORPME)3, which were responded to on March 25 and May 12, 20224, respectively.</w:t>
        <w:br/>
        <w:t>(5) On March 8, 20225, the sole administrator of the company QUALITY-PROVIDER S.A reiterated its complaint regarding the development of a discriminatory practice constituting an abuse of dominant position contrary to Article 2 LDC, consisting of the commercialization by CORPME of the</w:t>
        <w:br/>
        <w:t>1 Pages 5 to 20.</w:t>
        <w:br/>
        <w:t>2 Pages 21 to 23.</w:t>
        <w:br/>
        <w:t>3 Pages 98 to 100 and 147 to 148.</w:t>
        <w:br/>
        <w:t>4 Pages 120 to 146 and 155 to 161.</w:t>
        <w:br/>
        <w:t>5 Pages 107 to 112.</w:t>
        <w:br/>
        <w:t>National Commission on Markets and Competition 3 of 16</w:t>
        <w:br/>
        <w:t>C/ Alcalá, 47 – 28014 Madrid - C/ Bolivia, 56 – 08018 Barcelona</w:t>
        <w:br/>
        <w:t>www.cnmc.es</w:t>
      </w:r>
    </w:p>
    <w:p>
      <w:r>
        <w:rPr>
          <w:b/>
        </w:rPr>
        <w:t>[Pages 4–6]</w:t>
      </w:r>
    </w:p>
    <w:p>
      <w:r>
        <w:t>S/0012/20</w:t>
        <w:br/>
        <w:t>COMMERCIAL DATA OF COMPANIES</w:t>
        <w:br/>
        <w:t>registry information applying unequal conditions to different operators.</w:t>
        <w:br/>
        <w:t>(6) On May 26, 2022, the complainant submitted a document6 requesting that, in application of community regulations7, the CNMC require the Central Commercial Registry (RMC) to provide the following documentation free of charge: (i) balance sheets and income statements of the RMC; (ii) all communications of Account Deposits made since 2011 by any company; (iii) the ID number of all administrators, directors, and any person holding a position in any company, whether active or inactive.</w:t>
        <w:br/>
        <w:t>(7) On April 10, 2025, a request for information was made to the complainant8, which has not been answered.</w:t>
        <w:br/>
        <w:t>(8) Likewise, on April 10 and May 14, 2025, requests for information were sent to the defendant (CORPME)9, which were answered on May 6 and May 27, 202510, respectively.</w:t>
        <w:br/>
        <w:t>(9) On June 2, 2025, a request for correction was sent to the complainant to provide evidence of the facts from which the existence of an infringement of Article 1 of the LDC derives, indicating that if the requested evidence is not provided within the established period, the complaint regarding the infringement provided for in Article 1 of the LDC will be considered withdrawn. This request for correction has not been answered.</w:t>
        <w:br/>
        <w:t>(10) On June 20, 2025, it was agreed to incorporate information from the website registradores.org and its electronic headquarters into the reference proceedings, as it is useful for the reference proceedings (folios 213 to 239).</w:t>
        <w:br/>
        <w:t>(11) On July 8, 2025, the Competition Directorate, in application of the provisions of Article 49.3 of the LDC, issued a proposal not to initiate sanctioning proceedings and to archive the proceedings, considering that the reported facts did not show indications of an infringement of the LDC.</w:t>
        <w:br/>
        <w:t>6 Folios 165 to 167.</w:t>
        <w:br/>
        <w:t>7 Directive (EU) 2019/1024, of the European Parliament and of the Council of June 20, 2019, on open data and the reuse of public sector information.</w:t>
        <w:br/>
        <w:t>8 Folios 182 to 183.</w:t>
        <w:br/>
        <w:t>9 Folios 185 to 186 and 194 to 195.</w:t>
        <w:br/>
        <w:t>10 Folios 192 to 193 and 201 to 205.</w:t>
        <w:br/>
        <w:t>National Commission on Markets and Competition 4 of 16</w:t>
        <w:br/>
        <w:t>C/ Alcalá, 47 – 28014 Madrid - C/ Bolivia, 56 – 08018 Barcelona</w:t>
        <w:br/>
        <w:t>www.cnmc.es</w:t>
      </w:r>
    </w:p>
    <w:p>
      <w:r>
        <w:t>S/0012/20</w:t>
        <w:br/>
        <w:t>COMMERCIAL DATA OF COMPANIES</w:t>
        <w:br/>
        <w:t>(12) In accordance with the provisions of Article 27 of the Competition Defense Regulation, approved by Royal Decree 261/2008, of February 22 (RDC), on July 8, 2025, the Competition Directorate elevated its proposal for archiving to the Competition Chamber of the CNMC Council.</w:t>
        <w:br/>
        <w:t>(13) The Competition Chamber of the CNMC Council has deliberated and ruled on this file in its session of October 30, 2025.</w:t>
        <w:br/>
        <w:t>2. THE PARTIES</w:t>
        <w:br/>
        <w:t>2.1. Complainant: QUALITY PROVIDER S.A. (QUALITY PROVIDER)</w:t>
        <w:br/>
        <w:t>(14) QUALITY PROVIDER is a company with its registered office in Madrid, incorporated on November 2, 2015, and whose corporate purpose includes the electronic exploitation of data to third parties, conducting market studies, creating commercial reports for companies, designing, manufacturing, distributing, selling, and non-financial leasing of software applications, and providing products, services, and resources to website owners.</w:t>
        <w:br/>
        <w:t>2.2. Defendants: COLLEGE OF PROPERTY, COMMERCIAL AND MOVABLE PROPERTY REGISTRARS OF SPAIN (CORPME) and INFORMA D&amp;B, IBERINFORM, and AXESOR.</w:t>
        <w:br/>
        <w:t>2.2.1. CORPME</w:t>
        <w:br/>
        <w:t>(15) CORPME is, according to the provisions of Article 1 of its Statutes11, a public law corporation12 protected by law and recognized by the State, with its own legal personality and full capacity, which enjoys autonomy for the fulfillment of its purposes.</w:t>
        <w:br/>
        <w:t>11 Royal Decree 483/1997, of April 14, approving the general Statutes of the College of Property and Commercial Registrars of Spain.</w:t>
        <w:br/>
        <w:t>12 Article 2.4 of Law 39/2015 establishes that public law corporations shall be governed by their specific regulations in the exercise of the public functions assigned to them by law or delegated by a Public Administration, and supplementarily by Law 39/2015 itself.</w:t>
        <w:br/>
        <w:t>National Commission on Markets and Competition 5 of 16</w:t>
        <w:br/>
        <w:t>C/ Alcalá, 47 – 28014 Madrid - C/ Bolivia, 56 – 08018 Barcelona</w:t>
        <w:br/>
        <w:t>www.cnmc.es</w:t>
      </w:r>
    </w:p>
    <w:p>
      <w:r>
        <w:t>S/0012/20</w:t>
        <w:br/>
        <w:t>COMMERCIAL DATA OF COMPANIES</w:t>
        <w:br/>
        <w:t>(16) It has jurisdiction over its members throughout the national territory, being exercised directly by the Governing Board and by the remaining collegiate bodies.</w:t>
        <w:br/>
        <w:t>(17) It is governed by the provisions of mortgage legislation, professional associations legislation, and its general Statutes, in accordance with the provisions of Professional Associations legislation. Among its main functions is:13 "to strive by all means at its disposal for the permanent improvement of the professional activities of the Registrars, proposing to the Administration the measures necessary for the updating and modernization of said activities. (…) to promote the process of modernization of the registry offices and propose for this purpose the pertinent provisions. (…) Therefore, one of the main purposes of CORPME is the permanent improvement of the registry service, in which the computerization and modernization of the Registries as well as the coordination and collaboration with other Public Administrations play an important role."</w:t>
        <w:br/>
        <w:t>2.2.2. INFORMA D&amp;B, IBERINFORM, AND AXESOR.</w:t>
        <w:br/>
        <w:t>(18) INFORMA D&amp;B is engaged in the collection, analysis, processing, and sale of information on national and international companies. They are responsible for the exclusive marketing of the Dun &amp; Bradstreet database, the largest database of companies worldwide, in Spain, Portugal, and Colombia.</w:t>
        <w:br/>
        <w:t>(19) IBERINFORM has as its main corporate purpose the development, sale, rental, consulting, and intermediation of all types of products and technological solutions for the management of business information and for the identification of risks and business opportunities.</w:t>
        <w:br/>
        <w:t>(20) AXESOR had as its corporate purpose consulting, support, development, exploitation, distribution, and sale of information technology products and systems. It has been acquired by EXPERIAN. EXPERIAN is engaged in providing information management services, development, import, and export of software.</w:t>
        <w:br/>
        <w:t>13 Article 4 of the General Statutes of CORPME.</w:t>
        <w:br/>
        <w:t>National Commission on Markets and Competition 6 of 16</w:t>
        <w:br/>
        <w:t>C/ Alcalá, 47 – 28014 Madrid - C/ Bolivia, 56 – 08018 Barcelona</w:t>
        <w:br/>
        <w:t>www.cnmc.es</w:t>
      </w:r>
    </w:p>
    <w:p>
      <w:r>
        <w:rPr>
          <w:b/>
        </w:rPr>
        <w:t>[Pages 7–9]</w:t>
      </w:r>
    </w:p>
    <w:p>
      <w:r>
        <w:t xml:space="preserve">S/0012/20  </w:t>
        <w:br/>
        <w:t xml:space="preserve">COMMERCIAL DATA OF COMPANIES  </w:t>
        <w:br/>
        <w:t xml:space="preserve">(21) The companies reported formed and currently form part of the Multisectoral Association of Information (ASEDIE)14, both at the time of filing the complaint15 and currently16.  </w:t>
        <w:br/>
        <w:t xml:space="preserve">3. AFFECTED MARKET  </w:t>
        <w:br/>
        <w:t xml:space="preserve">(22) The reported behaviors could be affecting the following vertically related markets: the market for the provision and/or management of databases and the market for the provision of commercial information services (economic and financial).  </w:t>
        <w:br/>
        <w:t xml:space="preserve">(23) This distinction was made by file N-04054 of the defunct Competition Defense Service (SDC), which considered the possibility of distinguishing two vertically related markets:  </w:t>
        <w:br/>
        <w:t xml:space="preserve">• Upstream, the market for the provision and/or management of databases that contain the information that will later be used for the preparation of various information products (directories, reports, etc.). This market would consist of "the buying and selling of data" among the various companies active in the sector to complete their range of information and thus improve the quality of the final products.  </w:t>
        <w:br/>
        <w:t xml:space="preserve">• Downstream, the market for the provision of commercial information services (economic and financial).  </w:t>
        <w:br/>
        <w:t xml:space="preserve">(24) However, it is not necessary in these reference proceedings to pronounce on the specific markets as long as the conclusions of the analysis are not altered.  </w:t>
        <w:br/>
        <w:t xml:space="preserve">4. FACTS  </w:t>
        <w:br/>
        <w:t xml:space="preserve">4.1. Tariffs  </w:t>
        <w:br/>
        <w:t xml:space="preserve">(25) The document with the contracting conditions that regulate the provision of the registry information service offered through the website,  </w:t>
        <w:br/>
        <w:t xml:space="preserve">14 ASEDIE is an association that brings together infomediary companies, which from different sectors aim for the use, reuse, and distribution of information, creating value-added products that contribute to providing greater security to global commercial traffic, boosting the economy through the application of methods that favor the reliability and transparency of commercial transactions in the business sphere.  </w:t>
        <w:br/>
        <w:t xml:space="preserve">15 Page 81.  </w:t>
        <w:br/>
        <w:t xml:space="preserve">16 https://www.asedie.es/es/nuestros-asociados  </w:t>
        <w:br/>
        <w:t xml:space="preserve">National Commission on Markets and Competition 7 of 16  </w:t>
        <w:br/>
        <w:t xml:space="preserve">C/ Alcalá, 47 – 28014 Madrid - C/ Bolivia, 56 – 08018 Barcelona  </w:t>
        <w:br/>
        <w:t>www.cnmc.es</w:t>
      </w:r>
    </w:p>
    <w:p>
      <w:r>
        <w:t xml:space="preserve">S/0012/20  </w:t>
        <w:br/>
        <w:t xml:space="preserve">COMMERCIAL DATA OF COMPANIES  </w:t>
        <w:br/>
        <w:t xml:space="preserve">https://sede.registradores.org/site17, informs that the cost of the Registry Services of the Commercial Registry is regulated in Royal Decree 757/1973, of March 29, and includes a summary of the tariffs to be collected by the Commercial Registries depending on the type of manifestation requested.  </w:t>
        <w:br/>
        <w:t xml:space="preserve">4.2. Agreements between CORPME and ASEDIE  </w:t>
        <w:br/>
        <w:t xml:space="preserve">(26) In 2002, CORPME and ASEDIE signed an Agreement aimed at facilitating the obtaining of information contained in the Commercial Registries18 and, on February 2, 2015, CORPME and ASEDIE signed a new agreement on the conditions of access and communication with the web server of the Property Registries19.  </w:t>
        <w:br/>
        <w:t xml:space="preserve">(27) The 2002 agreement provides, in its first recitals, that the purpose of the agreement is to  </w:t>
        <w:br/>
        <w:t xml:space="preserve">“facilitate the obtaining, by the companies integrated into ASEDIE that adhere to this Agreement, of information on account deposits and other commercial information contained in the Commercial Registries, either directly, or telematically through the web server of said Registries, or by any other system that may exist in the future.”  </w:t>
        <w:br/>
        <w:t xml:space="preserve">(28) Likewise, in its second clause, it establishes that  </w:t>
        <w:br/>
        <w:t xml:space="preserve">“ASEDIE and the entities and companies integrated into ASEDIE that adhere to this Agreement may make as many inquiries as they deem pertinent through the website of the Commercial Registrars (registradores.org) (…) in their capacity as subscribers to the formal publicity service of the College of Registrars, without being subject to any limit on the number or economic amount and with strict compliance with current legislation, as well as the "general conditions" that regulate the operation of said website (…).”  </w:t>
        <w:br/>
        <w:t xml:space="preserve">(29) And in the fifth clause, it establishes that  </w:t>
        <w:br/>
        <w:t xml:space="preserve">“the College of Registrars will study together with ASEDIE and, where appropriate, will enable, with the necessary security guarantees, direct access to the aforementioned telematic network for ASEDIE and the entities and companies integrated into ASEDIE that adhere to this Agreement, through the techniques that enable it and always at the expense and cost of ASEDIE or its associates and never exclusively.”  </w:t>
        <w:br/>
        <w:t xml:space="preserve">(30) The 201520 agreement provides, in its first clause, that the purpose of the agreement is to  </w:t>
        <w:br/>
        <w:t xml:space="preserve">“establish the conditions for access and communication by USERS with the web server of the Property Registries to make registry information requests to the registrars”:  </w:t>
        <w:br/>
        <w:t xml:space="preserve">(31) It also states that  </w:t>
        <w:br/>
        <w:t xml:space="preserve">“ASEDIE and the entities and companies integrated into ASEDIE that adhere to this Agreement may make inquiries through the website of the Property Registrars and/or through the specific channel enabled by the College, to access, in their capacity as subscribers, the catalog of services of formal publicity of the College of Registrars in force or any other legally recognized registry publicity services that may be established in the future, in accordance with the technological advances developed by the College of Registrars and that the parties agree to include in this agreement, through the pertinent addendum and always under strict compliance with applicable legislation, as well as the "general conditions" that regulate the operation of said website.”  </w:t>
        <w:br/>
        <w:t xml:space="preserve">(32) Likewise, it states that  </w:t>
        <w:br/>
        <w:t xml:space="preserve">“ASEDIE is responsible for ensuring that each associated company that intends to adhere to the agreement signs the adhesion document and acceptance of conditions” and “each USER will be responsible for ensuring that their equipment has the appropriate technical characteristics, so that the receipt of the requested information is carried out under the best possible conditions.”  </w:t>
        <w:br/>
        <w:t xml:space="preserve">(33) In the second clause, relating to the conditions of use, the Agreement states that  </w:t>
        <w:br/>
        <w:t xml:space="preserve">“Only the organization called ASEDIE and the companies associated with it will have access to the system under the conditions determined in this Agreement, organizing access under the following structure;  </w:t>
        <w:br/>
        <w:t xml:space="preserve">FRAME USER: will be ASEDIE, as the communicator and manager of registrations and cancellations of its associates who wish to adhere to this Agreement.  </w:t>
        <w:br/>
        <w:t xml:space="preserve">USER: The companies associated with ASEDIE that adhere to this Agreement will have the status of User, for whom the corresponding invoices will be issued according to the volume requested by each of them monthly.”  </w:t>
        <w:br/>
        <w:t xml:space="preserve">20 Pages 132-137 and 234-239.  </w:t>
        <w:br/>
        <w:t xml:space="preserve">National Commission on Markets and Competition 9 of 16  </w:t>
        <w:br/>
        <w:t xml:space="preserve">C/ Alcalá, 47 – 28014 Madrid - C/ Bolivia, 56 – 08018 Barcelona  </w:t>
        <w:br/>
        <w:t>www.cnmc.es</w:t>
      </w:r>
    </w:p>
    <w:p>
      <w:r>
        <w:rPr>
          <w:b/>
        </w:rPr>
        <w:t>[Pages 10–12]</w:t>
      </w:r>
    </w:p>
    <w:p>
      <w:r>
        <w:t>S/0012/20</w:t>
        <w:br/>
        <w:t>COMMERCIAL DATA OF COMPANIES</w:t>
        <w:br/>
        <w:t>(34) On the other hand, it is indicated that the “amount for each registry information sent will be that established at any given time by the legally approved Tariff of the Property Registrars.”</w:t>
        <w:br/>
        <w:t>4.3. Transparency of the automated access system to registry information</w:t>
        <w:br/>
        <w:t>(35) The two collaboration agreements formalized with ASEDIE are published in the section of agreements and collaboration agreements on the transparency page of CORPME21.</w:t>
        <w:br/>
        <w:t>(36) Furthermore, on the CORPME website, www.registradores.org, there is a frequently asked questions section for citizen information (both for the Property Registry22 and for the Commercial Registry23) in which information about the automated system24 is provided:</w:t>
        <w:br/>
        <w:t>“Yes, the College of Registrars has developed, both for the Property Registries and for the Commercial Registries, API systems that facilitate the automated request process for information from the competent Registries, with the registrars being the ones who, in accordance with the applicable legislation, issue such information in the form of a simple note or certification. This is a mechanism made available to any entity that wishes to and plans to make a very high volume of daily requests. To ensure the necessary security levels for the development of the registry function, this service requires the implementation of specific technical developments. If you believe that you may be interested in the service, or have questions about the required technical specifications or any other matter, please contact us at the following email address: api@corpme.es”</w:t>
        <w:br/>
        <w:t>(37) In the frequently asked questions section of the CORPME website in the electronic headquarters (both for the Property Registry25 and for the Commercial Registry26), information is provided about the automated request for registry information:</w:t>
        <w:br/>
        <w:t>21 Folios 225 to 239.</w:t>
        <w:br/>
        <w:t>22 Folio 216.</w:t>
        <w:br/>
        <w:t>23 Folio 217.</w:t>
        <w:br/>
        <w:t>24 Folios 218 and 219.</w:t>
        <w:br/>
        <w:t>25 Folio 222.</w:t>
        <w:br/>
        <w:t>26 Folio 223.</w:t>
        <w:br/>
        <w:t>National Commission on Markets and Competition 10 of 16</w:t>
        <w:br/>
        <w:t>C/ Alcalá, 47 – 28014 Madrid - C/ Bolivia, 56 – 08018 Barcelona</w:t>
        <w:br/>
        <w:t>www.cnmc.es</w:t>
      </w:r>
    </w:p>
    <w:p>
      <w:r>
        <w:t>S/0012/20</w:t>
        <w:br/>
        <w:t>COMMERCIAL DATA OF COMPANIES</w:t>
        <w:br/>
        <w:t>“Yes, the College of Registrars has developed both for the Property Registries and for the Commercial Registries, API systems that facilitate the automated request process for registry information to the competent Property and Commercial Registries for those users who, meeting the technical specifications defined generically for any user, wish to make mass or simply large requests for information. If you wish to make use of it, please contact the responsible service at the following email: api@corpme.es.”27</w:t>
        <w:br/>
        <w:t>(38) Finally, on the main page of the Electronic Headquarters of the Registrars of Spain, in the section related to “Accesses of interest”28, information is provided about the service that allows the automated request for registry information29.</w:t>
        <w:br/>
        <w:t>5. LEGAL GROUNDS</w:t>
        <w:br/>
        <w:t>5.1. Competence to resolve</w:t>
        <w:br/>
        <w:t>(39) According to Article 5.1.c) of the Law creating the CNMC, this Agency is responsible for “applying the provisions of Law 15/2007, of July 3, regarding conduct that prevents, restricts, and distorts competition”30. Article 20.2 of the same law assigns the Council the function of “resolving the sanctioning procedures provided for in Law 15/2007, of July 3” and, according to Article 14.1.a) of the Organic Statute of the CNMC, “the Competition Chamber will know of matters related to the application of Law 15/2007, of July 3”31.</w:t>
        <w:br/>
        <w:t>(40) Consequently, the competence to resolve this procedure corresponds to the Competition Chamber of the CNMC Council.</w:t>
        <w:br/>
        <w:t>5.2. Purpose of the resolution and proposal of the instructing body</w:t>
        <w:br/>
        <w:t>(41) This Chamber must assess in the present resolution whether the requirements for the application of Article 49.3 of the LDC are met, that is, the absence of indications of infringement, in order to, as proposed by the DC, agree to not initiate the sanctioning procedure and to archive the actions taken so far.</w:t>
        <w:br/>
        <w:t>(42) Article 49.1 of the LDC provides that the DC will initiate a sanctioning file when it observes reasonable indications of the existence of prohibited conduct in Articles 1, 2, and 3 of the same Law. However, in number 3 of the aforementioned Article 49, it is added that the Council, at the proposal of the DC, will agree not to initiate a sanctioning procedure and, consequently, to archive the actions taken, when it considers that there are no indications of infringement.</w:t>
        <w:br/>
        <w:t>(43) On the other hand, Article 27.1 of the RDC stipulates that: “1. In order for the Council of the National Commission of Competition [current CNMC] to agree not to initiate a procedure and archive the actions in the terms established in Articles 44 and 49.3 of Law 15/2007, of July 3, the Directorate of Investigation [current Directorate of Competition] will forward to it the complaint received, the prior actions carried out, if applicable, and a proposal for archiving.”</w:t>
        <w:br/>
        <w:t>(44) In its report of July 8, 2025, the DC proposed to this Chamber the non-initiation of the sanctioning procedure and the archiving of the actions, in accordance with the provisions of Article 49.3 of the LDC, as it considers that, in relation to the reported facts, there are no indications of infringement of the LDC.</w:t>
        <w:br/>
        <w:t>(45) In particular, the DC indicates, regarding Article 2 LDC concerning CORPME, that there are no indications of lack of transparency, discrimination in access to the automated system, or discrimination in the price of access to registry information or in the format in which it is provided.</w:t>
        <w:br/>
        <w:t>(46) On the other hand, regarding the alleged infringement of Article 1 LDC concerning the members of ASEDIE, emphasizing the importance of considering that some of the members are companies with significant market power (INFORMA D&amp;B, IBERINFORM, and AXESOR), the DC indicates that the complainant has not provided any evidence of such infringement and the described facts are insufficient to assess, even indicatively, the commission of an infringement of Article 1 LDC. Furthermore, as the complainant did not respond to the request for correction of the complaint in this regard within the time frame provided for it, they must be considered to have withdrawn from it.</w:t>
        <w:br/>
        <w:t>(47) Consequently, the DC has not found indications of infringement of Articles 1 or 2 of the LDC that would advise continuing the processing of the sanctioning procedure ex officio.</w:t>
        <w:br/>
        <w:t>National Commission on Markets and Competition 12 of 16</w:t>
        <w:br/>
        <w:t>C/ Alcalá, 47 – 28014 Madrid - C/ Bolivia, 56 – 08018 Barcelona</w:t>
        <w:br/>
        <w:t>www.cnmc.es</w:t>
      </w:r>
    </w:p>
    <w:p>
      <w:r>
        <w:rPr>
          <w:b/>
        </w:rPr>
        <w:t>[Pages 13–15]</w:t>
      </w:r>
    </w:p>
    <w:p>
      <w:r>
        <w:t>S/0012/20</w:t>
        <w:br/>
        <w:t>COMMERCIAL DATA OF COMPANIES</w:t>
        <w:br/>
        <w:t>5.3. Assessment of the Competition Chamber</w:t>
        <w:br/>
        <w:t>(48) This Competition Chamber, after examining the documents in the file and the proposal for filing raised by the DC, agrees with the reasoning presented by the instructing body and, consequently, decides to agree to the filing of the proceedings followed as a result of the complaint by QUALITY PROVIDER.</w:t>
        <w:br/>
        <w:t>(49) Firstly, starting with the analysis of the behaviors reported under Article 2 LDC, regarding the alleged lack of transparency concerning the existence of the automated access system to registry information, CORPME acknowledges the existence of two access systems to registry information: ordinary access and automated access, which allow requests for information without limitation. Requests for access to registry information are redirected to the territorial Registry where the registered office of the company for which information is requested is domiciled32.</w:t>
        <w:br/>
        <w:t>(50) As seen in the established fact ¡Error! The source of the reference is not found., information about the automated access system to registry information is included both in the frequently asked questions on the main page of CORPME and in the Electronic Headquarters. Additionally, the aforementioned information is also found in the section "Accesses of interest" located on the main page of the Electronic Headquarters of CORPME33.</w:t>
        <w:br/>
        <w:t>(51) Furthermore, CORPME has published the two agreements signed with ASEDIE in the transparency section.</w:t>
        <w:br/>
        <w:t>(52) Regarding the alleged discrimination in access to the automated system, according to CORPME, to access the automated access system to registry information, it is necessary to register as a registered user and comply with a series of technical specifications to be able to use that system, as indicated on the website, where it specifies that "to ensure the necessary security levels for the development of the registry function, this service requires the implementation of specific technical developments."</w:t>
        <w:br/>
        <w:t>(53) CORPME stated that the mass inquiry system allows for very dynamic interaction and that if the technical access details were made public, it would generate a significant security risk, as any third party could explore and exploit security breaches in the system and access internal elements of the College or the Spanish Registries34. Additionally, the College offers a testing environment to test the operation of requests for the automated service prior to final activation35.</w:t>
        <w:br/>
        <w:t>(54) In principle, there are no indications that the requirements are disproportionate (or that they were not justified for tax and billing reasons and for security and interoperability reasons) that are substantially different from those required of companies affiliated with ASEDIE that adhere to the two Agreements36. Additionally, it should be noted that there are no complaints or reports that provide indications of denial of access to the automated system due to non-compliance with technical requirements.</w:t>
        <w:br/>
        <w:t>(55) Currently, according to the information provided by CORPME, there are two users who did not channel their request for access to the automated system through ASEDIE, and four users whose request to the College is not known to be connected with ASEDIE and the user is not on the list of ASEDIE associates37.</w:t>
        <w:br/>
        <w:t>(56) The complainant alleges having requested access to data in batches from CORPME, and that the response received was that it is only possible to access the data by making individual requests through the "Registradores.org" page38. However, the complainant does not provide either the request or the denial that would substantiate this despite having been required to do so39. She only provides in her complaint, as evidence, a series of documents consisting of:</w:t>
        <w:br/>
        <w:t>• A proof of submission of a request for access to information before the General Subdirectorate of Notary and Registries, dated November 21, 2019.</w:t>
        <w:br/>
        <w:t>• The first page of a request for access to information addressed to the Dean of CORPME under Law 19/2013, of December 9, on transparency, access to public information, and good governance.</w:t>
        <w:br/>
        <w:t>34 Pages 203 and 204.</w:t>
        <w:br/>
        <w:t>35 Page 157.</w:t>
        <w:br/>
        <w:t>36 Pages 225 to 239.</w:t>
        <w:br/>
        <w:t>37 Page 203.</w:t>
        <w:br/>
        <w:t>38 Pages 5. In the response to the information request of December 17, 2021, the complainant states that she requested "non-individualized access or, at least, individualized but automated, which was denied to me" (Page 36).</w:t>
        <w:br/>
        <w:t>39 Page 182.</w:t>
        <w:br/>
        <w:t>S/0012/20</w:t>
        <w:br/>
        <w:t>COMMERCIAL DATA OF COMPANIES</w:t>
        <w:br/>
        <w:t>• The first page of a request for access to information addressed to the Central Commercial Registry based on the application of Law 19/2013, of December 9.</w:t>
        <w:br/>
        <w:t>(57) Regarding the alleged discrimination in pricing, the fees charged by the various Commercial Registrars for the issuance of simple notes or certifications, in the exercise of their obligations regarding registry publicity, are regulated by law and cannot be unilaterally modified by them.</w:t>
        <w:br/>
        <w:t>(58) In fact, the Terms of Contract governing the use of the website https://sede.registradores.org/site40, for access to registry information, refer to the royal decree that regulates the fees to be charged by the Commercial Registrars based on the type of manifestation requested and includes a summary of the different types of fees.</w:t>
        <w:br/>
        <w:t>(59) For its part, the agreement signed in 2015 with ASEDIE expressly states that the price to be paid by users will be the legally established fee41 and the 2002 agreement, in its second clause, establishes that access to registry information through the website of the Commercial Registrars must be done "with strict compliance with current legislation, as well as the 'general conditions' that regulate the operation of said website"42.</w:t>
        <w:br/>
        <w:t>(60) To conclude with the complaints related to Article 2 LDC, regarding the alleged discrimination in the format in which registry information is offered, the automated access system, according to CORPME43, is only distinguished from the ordinary system by allowing a "machine" to make inquiries in an automated and mass manner.</w:t>
        <w:br/>
        <w:t>(61) Consequently, according to what CORPME has stated, such behaviors have the same functionalities as ordinary access, and the information would be accessed in the same format. In fact, the agreements with ASEDIE do not indicate that they have access to a different format.</w:t>
        <w:br/>
        <w:t>40 Terms of contract with CORPME provided by the complainant as Document No. 2 of her writing of January 10, 2022 (pages 45 to 78).</w:t>
        <w:br/>
        <w:t>41 Clause 4 of the Agreement signed between ASEDIE and CORPME on February 2, 2015: "The amount of each registry information sent will be that established at any given time by the legally approved Fee of the Property Registrars." Page 135.</w:t>
        <w:br/>
        <w:t>42 Page 140.</w:t>
        <w:br/>
        <w:t>43 Pages 124, 155, 156, and 157.</w:t>
      </w:r>
    </w:p>
    <w:p>
      <w:r>
        <w:rPr>
          <w:b/>
        </w:rPr>
        <w:t>[Pages 16–16]</w:t>
      </w:r>
    </w:p>
    <w:p>
      <w:r>
        <w:t>S/0012/20</w:t>
        <w:br/>
        <w:t>COMMERCIAL DATA OF COMPANIES</w:t>
        <w:br/>
        <w:t>(62) For all these reasons, this Chamber agrees with the conclusions of the DC, as the available information does not allow for the conclusion of the existence of indications of an abuse of a dominant position contrary to Article 2 LDC.</w:t>
        <w:br/>
        <w:t>(63) On the other hand, regarding the complaint under Article 1 LDC, this Chamber again agrees with the instructing body in that the complainant has not provided sufficient evidence to assess, even in an indicative manner, the existence of an agreement, decision, or collective recommendation that has as its object or effect (real or potential effect that should be appreciable) the restriction or distortion of competition contrary to the aforementioned article.</w:t>
        <w:br/>
        <w:t>(64) Additionally, it should be noted that the complainant, by not responding to the request for correction of the complaint regarding Article 1 LDC, must be considered to have withdrawn from it.</w:t>
        <w:br/>
        <w:t>(65) For all these reasons, this Chamber again agrees with the conclusions reached by the DC regarding the non-existence of indications of infringement of Article 1 LDC in light of the information contained in the file.</w:t>
        <w:br/>
        <w:t>(66) Consequently, the Competition Chamber of the CNMC Council</w:t>
        <w:br/>
        <w:t>6. RESOLVES</w:t>
        <w:br/>
        <w:t>Sole. Not to initiate sanctioning proceedings and to agree to the filing of the actions taken in reference S/0012/20 Commercial Data of Companies, considering that there are no indications of infringement of Law 15/2007, of July 3, on the Defense of Competition in this file.</w:t>
        <w:b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