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https://www.cnmc.es/expedientes/s001223</w:t>
      </w:r>
    </w:p>
    <w:p>
      <w:r>
        <w:t>Pages translated : 27</w:t>
      </w:r>
    </w:p>
    <w:p/>
    <w:p>
      <w:r>
        <w:rPr>
          <w:b/>
        </w:rPr>
        <w:t>[Pages 1–3]</w:t>
      </w:r>
    </w:p>
    <w:p>
      <w:r>
        <w:t xml:space="preserve">S/0012/23  </w:t>
        <w:br/>
        <w:t xml:space="preserve">DAMA VS SGAE II  </w:t>
        <w:br/>
        <w:t xml:space="preserve">AGREEMENT OF NON-INITIATION AND FILING OF THE  </w:t>
        <w:br/>
        <w:t xml:space="preserve">PROCEEDINGS  </w:t>
        <w:br/>
        <w:t xml:space="preserve">DAMA VS SGAE II  </w:t>
        <w:br/>
        <w:t xml:space="preserve">S/0012/23  </w:t>
        <w:br/>
        <w:t xml:space="preserve">COUNCIL. COMPETITION CHAMBER  </w:t>
        <w:br/>
        <w:t xml:space="preserve">President  </w:t>
        <w:br/>
        <w:t xml:space="preserve">Ms. Cani Fernández Vicién  </w:t>
        <w:br/>
        <w:t xml:space="preserve">Counselors  </w:t>
        <w:br/>
        <w:t xml:space="preserve">Mr. Rafael Iturriaga Nieva  </w:t>
        <w:br/>
        <w:t xml:space="preserve">Mr. Pere Soler Campins  </w:t>
        <w:br/>
        <w:t xml:space="preserve">Ms. María Vidales Picazo  </w:t>
        <w:br/>
        <w:t xml:space="preserve">Secretary  </w:t>
        <w:br/>
        <w:t xml:space="preserve">Mr. Miguel Bordiu García-Ovies  </w:t>
        <w:br/>
        <w:t xml:space="preserve">In Barcelona, on July 1, 2026  </w:t>
        <w:br/>
        <w:t xml:space="preserve">The Competition Chamber of the Council of the National Commission on Markets and Competition, with the composition expressed, has issued the following agreement in the reference file following a complaint filed against the GENERAL SOCIETY OF AUTHORS AND PUBLISHERS for the alleged commission of behaviors constituting an infringement of abuse of dominant position contrary to Article 2 of Law 15/2007, of July 3, on the Defense of Competition and Article 102 of the Treaty on the Functioning of the European Union.  </w:t>
        <w:br/>
        <w:t xml:space="preserve">National Commission on Markets and Competition 1 of 27  </w:t>
        <w:br/>
        <w:t xml:space="preserve">C/ Alcalá, 47 – 28014 Madrid - C/ Bolivia, 56 – 08018 Barcelona  </w:t>
        <w:br/>
        <w:t>www.cnmc.es</w:t>
      </w:r>
    </w:p>
    <w:p>
      <w:r>
        <w:t xml:space="preserve">S/0012/23  </w:t>
        <w:br/>
        <w:t xml:space="preserve">DAMA VS SGAE II  </w:t>
        <w:br/>
        <w:t xml:space="preserve">TABLE OF CONTENTS  </w:t>
        <w:br/>
        <w:t xml:space="preserve">1. BACKGROUND ........................................................................................ 4  </w:t>
        <w:br/>
        <w:t xml:space="preserve">2. THE COMPLAINT .................................................................................... 6  </w:t>
        <w:br/>
        <w:t xml:space="preserve">3. THE PARTIES .......................................................................................... 6  </w:t>
        <w:br/>
        <w:t xml:space="preserve">3.1. Respondent: GENERAL SOCIETY OF AUTHORS AND PUBLISHERS  </w:t>
        <w:br/>
        <w:t xml:space="preserve">(SGAE) ........................................................................................................... 6  </w:t>
        <w:br/>
        <w:t xml:space="preserve">3.2. Complainant: AUDIOVISUAL MEDIA COPYRIGHT, MANAGEMENT ENTITY (DAMA) ................................................................... 7  </w:t>
        <w:br/>
        <w:t xml:space="preserve">4. REGULATORY FRAMEWORK ................................................................ 7  </w:t>
        <w:br/>
        <w:t xml:space="preserve">5. AFFECTED MARKET .............................................................................. 10  </w:t>
        <w:br/>
        <w:t xml:space="preserve">6. FACTS AND CONDUCTS REPORTED .................................................... 11  </w:t>
        <w:br/>
        <w:t xml:space="preserve">6.1. Duration of management contracts ......................................................... 11  </w:t>
        <w:br/>
        <w:t xml:space="preserve">6.2. Assignment of rights .............................................................................. 12  </w:t>
        <w:br/>
        <w:t xml:space="preserve">6.3. Withdrawal of members .......................................................................... 12  </w:t>
        <w:br/>
        <w:t xml:space="preserve">6.4. Bonuses for television premieres ............................................................ 14  </w:t>
        <w:br/>
        <w:t xml:space="preserve">6.5. Rates for thematic television channels .................................................. 14  </w:t>
        <w:br/>
        <w:t xml:space="preserve">6.6. Rates and distribution .............................................................................. 15  </w:t>
        <w:br/>
        <w:t xml:space="preserve">6.7. Treatment of music videos ...................................................................... 15  </w:t>
        <w:br/>
        <w:t xml:space="preserve">6.8. The Audiovisual Fund .............................................................................. 16  </w:t>
        <w:br/>
        <w:t xml:space="preserve">7. LEGAL GROUNDS .................................................................................. 16  </w:t>
        <w:br/>
        <w:t xml:space="preserve">7.1. Authority to resolve ................................................................................ 16  </w:t>
        <w:br/>
        <w:t xml:space="preserve">7.2. Subject of the file and proposal of the instructing body ......................... 17  </w:t>
        <w:br/>
        <w:t xml:space="preserve">7.3. Assessment of the Competition Chamber .............................................. 18  </w:t>
        <w:br/>
        <w:t xml:space="preserve">7.3.1. Dominant position of SGAE .............................................................. 18  </w:t>
        <w:br/>
        <w:t xml:space="preserve">7.3.2. Abuse of dominant position by SGAE ............................................. 18  </w:t>
        <w:br/>
        <w:t xml:space="preserve">7.3.2.1. Regarding the duration of management contracts and their extensions ............................. 18  </w:t>
        <w:br/>
        <w:t xml:space="preserve">7.3.2.2. Regarding the assignment of rights .................................................................................. 19  </w:t>
        <w:br/>
        <w:t xml:space="preserve">7.3.2.3. Regarding the withdrawal of members .............................................................................. 20  </w:t>
        <w:br/>
        <w:t xml:space="preserve">7.3.2.4. Regarding bonuses for television premieres ................................................................. 21  </w:t>
        <w:br/>
        <w:t xml:space="preserve">7.3.2.5. Regarding rates for thematic television channels ............................................................ 22  </w:t>
        <w:br/>
        <w:t xml:space="preserve">7.3.2.6. Regarding rates and their distribution .............................................................................. 23  </w:t>
        <w:br/>
        <w:t xml:space="preserve">7.3.2.7. Regarding the treatment of music videos ......................................................................... 25  </w:t>
        <w:br/>
        <w:t xml:space="preserve">National Commission on Markets and Competition 2 of 27  </w:t>
        <w:br/>
        <w:t xml:space="preserve">C/ Alcalá, 47 – 28014 Madrid - C/ Bolivia, 56 – 08018 Barcelona  </w:t>
        <w:br/>
        <w:t>www.cnmc.es</w:t>
      </w:r>
    </w:p>
    <w:p>
      <w:r>
        <w:t xml:space="preserve">S/0012/23  </w:t>
        <w:br/>
        <w:t xml:space="preserve">DAMA VS SGAE II  </w:t>
        <w:br/>
        <w:t xml:space="preserve">7.3.2.8. Regarding the Audiovisual Fund .................................................................................... 26  </w:t>
        <w:br/>
        <w:t xml:space="preserve">7.3.3. Conclusion ......................................................................................... 27  </w:t>
        <w:br/>
        <w:t xml:space="preserve">8. AGREES .................................................................................................. 27  </w:t>
        <w:br/>
        <w:t xml:space="preserve">National Commission on Markets and Competition 3 of 27  </w:t>
        <w:br/>
        <w:t xml:space="preserve">C/ Alcalá, 47 – 28014 Madrid - C/ Bolivia, 56 – 08018 Barcelona  </w:t>
        <w:br/>
        <w:t>www.cnmc.es</w:t>
      </w:r>
    </w:p>
    <w:p>
      <w:r>
        <w:rPr>
          <w:b/>
        </w:rPr>
        <w:t>[Pages 4–6]</w:t>
      </w:r>
    </w:p>
    <w:p>
      <w:r>
        <w:t xml:space="preserve">S/0012/23  </w:t>
        <w:br/>
        <w:t xml:space="preserve">DAMA VS SGAE II  </w:t>
        <w:br/>
        <w:t xml:space="preserve">1. BACKGROUND  </w:t>
        <w:br/>
        <w:t xml:space="preserve">(1) On July 22, 2016, a document was received at the National Commission on Markets and Competition (CNMC) submitted by AUDIOVISUAL MEDIA COPYRIGHTS MANAGEMENT ENTITY (DAMA), in which a complaint was filed against the GENERAL SOCIETY OF AUTHORS AND PUBLISHERS (SGAE), for alleged conduct prohibited by Law 15/2007, of July 3, on the Defense of Competition (LDC) and the Treaty on the Functioning of the European Union (TFEU).  </w:t>
        <w:br/>
        <w:t xml:space="preserve">(2) On September 15, 2016, the Competition Directorate (DC) sent a request for information to SGAE1, receiving a response on October 6, 2016.  </w:t>
        <w:br/>
        <w:t xml:space="preserve">(3) On July 17, 2017, DAMA submitted a new complaint against SGAE2.  </w:t>
        <w:br/>
        <w:t xml:space="preserve">(4) On October 19, 2017, the DC agreed to initiate a sanctioning procedure, under reference S/DC/0590/16, against SGAE, for alleged restrictive practices contrary to arts. 2 LDC and 102 TFEU.  </w:t>
        <w:br/>
        <w:t xml:space="preserve">(5) On May 8, 2019, DAMA submitted a document to the DC requesting that the behaviors reported in 2016 and 2017 not included in the aforementioned initiation agreement3 be investigated.  </w:t>
        <w:br/>
        <w:t xml:space="preserve">(6) On May 30, 2019, the CNMC Council issued a Resolution in file S/DC/0590/16, declaring the commission of the infringement of art. 2 LDC and art. 102 TFEU by SGAE to be established.  </w:t>
        <w:br/>
        <w:t xml:space="preserve">(7) On February 26, 2021, the DC sent a request for information to SGAE, which was reiterated several times4, receiving a response on April 18, 20235.  </w:t>
        <w:br/>
        <w:t xml:space="preserve">(8) On January 18, 2022, the DC agreed to initiate sanctioning file S/0641/18 against SGAE for possible practices prohibited by arts. 2 LDC and 102 TFEU.  </w:t>
        <w:br/>
        <w:t xml:space="preserve">(9) On April 18, 2022, the DC sent a request for information to DAMA, which was reiterated later6, receiving a response on March 31, 2023.  </w:t>
        <w:br/>
        <w:t xml:space="preserve">(10) On April 18, 2023, the DC sent a request for information to DAMA8, receiving responses on June 139 and July 4, 202310.  </w:t>
        <w:br/>
        <w:t xml:space="preserve">(11) On April 24, 2023, the DC sent a request for information to SGAE11, receiving responses on May 2512, June 913, 2114, and 2215, and July 716 and 1717, 2023.  </w:t>
        <w:br/>
        <w:t xml:space="preserve">(12) On October 9, 2023, SGAE submitted a document informing the DC of the signing on September 15, 2023, of a memorandum of understanding between SGAE and DAMA and providing said document18.  </w:t>
        <w:br/>
        <w:t xml:space="preserve">(13) On November 27, 2023, the DC agreed to initiate a confidential inquiry under reference S/0012/23, with the preliminary purpose of determining whether the circumstances justify the initiation of the sanctioning file, in accordance with the provisions of art. 49.2 LDC19; as well as the incorporation into the aforementioned procedure of the documentation contained in file S/0641/18 from which, in accordance with the provisions of art. 30 of the Competition Defense Regulation approved by Royal Decree 261/2008, of February 22 (RDC), testimony was deduced on October 18, 2023, and November 8, 2023.  </w:t>
        <w:br/>
        <w:t xml:space="preserve">(14) On June 19, 2024, the CNMC Council issued a Resolution in file S/0641/18, declaring the commission of the infringement of art. 2 LDC and art. 102 TFEU by SGAE to be established.  </w:t>
        <w:br/>
        <w:t xml:space="preserve">(15) On June 8, 2026, the Competition Directorate, in application of the provisions of article 49.3 of the LDC, issued a proposal for non-initiation of the sanctioning file and for the filing of the actions, considering that the reported facts did not show indications of infringement of the LDC.  </w:t>
        <w:br/>
        <w:t xml:space="preserve">(16) In accordance with the provisions of article 27 of the RDC, also on June 8, 2026, the Competition Directorate submitted its proposal for filing to the Competition Chamber of the CNMC Council.  </w:t>
        <w:br/>
        <w:t xml:space="preserve">(17) The Chamber has deliberated and resolved the present file in its session of July 1, 2026.  </w:t>
        <w:br/>
        <w:t xml:space="preserve">2. THE COMPLAINT  </w:t>
        <w:br/>
        <w:t xml:space="preserve">(18) The actions are aimed at the behaviors reported by DAMA in 2016 and 2017 that were not ultimately included in the initiation agreement of October 19, 2017, nor in the CNMC Council resolution of May 30, 2019, referred to file S/DC/0590/16, nor in the initiation agreement of January 18, 2022, nor in the CNMC Council Resolution of June 19, 2024, referred to file S/0641/18.  </w:t>
        <w:br/>
        <w:t xml:space="preserve">(19) Specifically, the present file addresses eight behaviors that, according to DAMA, should be considered by the CNMC as constitutive of abuse of dominant position contrary to art. 2 LDC and 102 TFEU. The breakdown of the reported behaviors addressed in this file will be carried out in section 6 of this agreement.  </w:t>
        <w:br/>
        <w:t xml:space="preserve">3. THE PARTIES  </w:t>
        <w:br/>
        <w:t xml:space="preserve">3.1. Respondent: GENERAL SOCIETY OF AUTHORS AND PUBLISHERS (SGAE)  </w:t>
        <w:br/>
        <w:t xml:space="preserve">(20) SGAE is a management entity for intellectual property rights20 that manages the rights of authors of a wide range of works, both musical and dramatic, choreographic, and audiovisual.  </w:t>
        <w:br/>
        <w:t xml:space="preserve">(21) It also administers the rights of members of foreign societies with which it has representation agreements, being a member of the main international copyright organizations, and in particular of the International Confederation of Societies of Authors (CISAC).  </w:t>
        <w:br/>
        <w:t>20 Authorized by Order of the Ministry of Culture of June 1, 1988 (BOE No. 134, of June 4, 1988).</w:t>
      </w:r>
    </w:p>
    <w:p>
      <w:r>
        <w:rPr>
          <w:b/>
        </w:rPr>
        <w:t>[Pages 7–9]</w:t>
      </w:r>
    </w:p>
    <w:p>
      <w:r>
        <w:t xml:space="preserve">S/0012/23  </w:t>
        <w:br/>
        <w:t xml:space="preserve">DAMA VS SGAE II  </w:t>
        <w:br/>
        <w:t xml:space="preserve">3.2. Complainant: AUDIOVISUAL COPYRIGHTS MANAGEMENT ENTITY (DAMA)  </w:t>
        <w:br/>
        <w:t xml:space="preserve">(21) DAMA is also an intellectual property rights management entity21, specialized in the copyright of audiovisual and cinematographic works.  </w:t>
        <w:br/>
        <w:t xml:space="preserve">(22) Thus, DAMA manages and protects the copyright of mandatory and voluntary collective management of its member authors (specifically, directors and authors of the literary part of audiovisual works). Unlike SGAE, DAMA does not manage the rights of authors of musical compositions, with or without lyrics, created for incorporation into the audiovisual work. It also maintains agreements with foreign entities and is a member of CISAC.  </w:t>
        <w:br/>
        <w:t xml:space="preserve">4. REGULATORY FRAMEWORK  </w:t>
        <w:br/>
        <w:t xml:space="preserve">(23) In Spain, copyright is regulated by Royal Legislative Decree 1/1996, of April 12, which approves the consolidated text of the Intellectual Property Law, regularizing, clarifying, and harmonizing the current legal provisions on the matter (TRLPI).  </w:t>
        <w:br/>
        <w:t xml:space="preserve">(24) Article 2 of the TRLPI states that intellectual property consists of personal and economic rights, which grant the author full disposition and the exclusive right to exploit the work, with no limitations other than those established by law. The content of intellectual property rights is classified into two categories: moral rights22 and economic rights.  </w:t>
        <w:br/>
        <w:t xml:space="preserve">(25) Economic rights are those that allow the author to obtain an economic return from the use of their work and can be classified into:  </w:t>
        <w:br/>
        <w:t xml:space="preserve">• Rights related to the exploitation of the work or protected performance, which are further subdivided into exclusive rights and remuneration rights:  </w:t>
        <w:br/>
        <w:t xml:space="preserve">− Exclusive rights23 are those that allow their holder to authorize or prohibit acts of exploitation of their work or performance protected by the user, as well as to demand remuneration from them in exchange for the authorization granted.  </w:t>
        <w:br/>
        <w:t xml:space="preserve">− Remuneration rights, unlike exclusive rights, do not empower their holder to authorize or prohibit acts of exploitation of their work or protected performance by a third party, but obligate the latter to pay a monetary amount for the acts of exploitation they carry out.  </w:t>
        <w:br/>
        <w:t xml:space="preserve">• Compensatory rights, such as the right to equitable compensation for private copying24.  </w:t>
        <w:br/>
        <w:t xml:space="preserve">(26) In relation to exclusive exploitation rights, Article 17 of the TRLPI expressly enumerates four specific modalities: “the rights of reproduction, distribution, public communication, and transformation”; establishing that the exclusive exercise of these rights, as well as any other exploitation rights of the work in any form, corresponds to its author. Therefore, to carry out any act of exploitation of a work, it will be necessary to have the authorization of the author, who may prohibit or authorize its exploitation to third parties in exchange (or not) for an agreed consideration, except in those cases where the TRLPI itself dispenses with the need to obtain such authorization.  </w:t>
        <w:br/>
        <w:t xml:space="preserve">(27) Most of the intellectual property rights regulated in the TRLPI are freely managed, so their holder can decide to manage them individually, either by themselves or through a representative, or alternatively, voluntarily entrust their management to an authorized collective management entity (for example, DAMA or SGAE) or to an independent management operator. The TRLPI refers to these rights as “voluntary collective management rights.” In contrast, there are some intellectual property rights for which the TRLPI imposes exclusive exercise through a rights management entity: the so-called “mandatory collective management rights.” These rights must be managed by a collective management entity and cannot be managed by independent operators.  </w:t>
        <w:br/>
        <w:t xml:space="preserve">(28) Among the rights of mandatory public management by collective management entities in relation to cinematographic and other audiovisual works, is the remuneration right of the authors of sections 2, 3, and 4 of Article 90 TRLPI.  </w:t>
        <w:br/>
        <w:t xml:space="preserve">24 Right regulated in Article 25 TRLPI.  </w:t>
        <w:br/>
        <w:t xml:space="preserve">(29) In addition to managing mandatory collective management rights, collective management entities, in most cases, also handle the management of voluntary collective management rights.  </w:t>
        <w:br/>
        <w:t xml:space="preserve">(30) Regarding their associates, with whom collective management entities formalize a management contract, the entities have a series of obligations, among which, for the purposes of this file, stand out the acceptance of the administration of the copyright and other intellectual property rights entrusted to them according to their object or purposes25 and to carry out an equitable distribution of the amounts collected among the holders of the works or productions used, according to a predetermined system in their statutes that excludes arbitrariness26.  </w:t>
        <w:br/>
        <w:t xml:space="preserve">(31) Regarding users, to whom the management entities grant authorization for the non-exclusive use of the works in exchange for a fee, the management entities also have a series of obligations, fundamentally to contract with anyone who requests it, unless for justified reasons, under reasonable conditions and remuneration, to establish general fees and negotiate individualized fees with specific users27.  </w:t>
        <w:br/>
        <w:t xml:space="preserve">(32) Collective management entities must approve their corresponding statutes with the minimum content established by Article 159 TRLPI. The Statutes of SGAE (hereinafter, “ES”) are configured as the set of rules that the members of SGAE have approved to govern the functioning of the entity. The statutes of collective management entities can be developed through other internal operating rules such as, for example, the distribution regulations of the collected rights28. The SGAE Regulation (hereinafter, “RS”), in addition to the rules of the entity's distribution systems, regulates other issues such as the procedure for registering works or the management of income from copyright29.  </w:t>
        <w:br/>
        <w:t xml:space="preserve">(33) Article 156 TRLPI establishes, among other issues, that the management of rights will be entrusted by their holders to the management entity through the subscription of a management contract. SGAE has a standard model  </w:t>
        <w:br/>
        <w:t xml:space="preserve">25 Article 156 TRLPI.  </w:t>
        <w:br/>
        <w:t xml:space="preserve">26 Article 159 TRLPI.  </w:t>
        <w:br/>
        <w:t xml:space="preserve">27 Articles 163 and following TRLPI.  </w:t>
        <w:br/>
        <w:t xml:space="preserve">28 Article 159.l) TRLPI.  </w:t>
        <w:br/>
        <w:t>29 Pages 72-133.</w:t>
      </w:r>
    </w:p>
    <w:p>
      <w:r>
        <w:rPr>
          <w:b/>
        </w:rPr>
        <w:t>[Pages 10–12]</w:t>
      </w:r>
    </w:p>
    <w:p>
      <w:r>
        <w:t xml:space="preserve">S/0012/23  </w:t>
        <w:br/>
        <w:t xml:space="preserve">DAMA VS SGAE II  </w:t>
        <w:br/>
        <w:t xml:space="preserve">management contract. SGAE has a standard model  </w:t>
        <w:br/>
        <w:t xml:space="preserve">25 Art. 156 TRLPI.  </w:t>
        <w:br/>
        <w:t xml:space="preserve">26 Art. 159 TRLPI.  </w:t>
        <w:br/>
        <w:t xml:space="preserve">27 Art. 163 and following TRLPI.  </w:t>
        <w:br/>
        <w:t xml:space="preserve">28 Art. 159.l) TRLPI.  </w:t>
        <w:br/>
        <w:t xml:space="preserve">29 Pages 72-133.  </w:t>
        <w:br/>
        <w:t xml:space="preserve">National Commission on Markets and Competition 9 of 27  </w:t>
        <w:br/>
        <w:t xml:space="preserve">C/ Alcalá, 47 – 28014 Madrid - C/ Bolivia, 56 – 08018 Barcelona  </w:t>
        <w:br/>
        <w:t>www.cnmc.es</w:t>
      </w:r>
    </w:p>
    <w:p>
      <w:r>
        <w:t xml:space="preserve">S/0012/23  </w:t>
        <w:br/>
        <w:t xml:space="preserve">DAMA VS SGAE II  </w:t>
        <w:br/>
        <w:t xml:space="preserve">of management contract between it and the holders of the intellectual property rights of its repertoire30.  </w:t>
        <w:br/>
        <w:t xml:space="preserve">(34) The third paragraph of section III of the preamble of Law 2/2019, of March 1st31, expressly states that through the management contract “the rights holder, without transferring ownership of the same, entrusts its management to a management entity”32 (emphasis added).  </w:t>
        <w:br/>
        <w:t xml:space="preserve">(35) On the other hand, regarding the management contract, Article 157.1 TRLPI expressly states that these cannot impose the management of the entirety of the work or future production of the rights holder to be managed.  </w:t>
        <w:br/>
        <w:t xml:space="preserve">(36) For its part, Article 158.1 TRLPI provides that “[t]he duration of the management contract may not exceed three years, renewable for periods of one year.”  </w:t>
        <w:br/>
        <w:t xml:space="preserve">(37) Article 177.3 TRLPI establishes that “[t]he general assembly of the management entity may adopt certain rules regarding distribution that take into account the works and performances protected as culturally relevant, their nature, their novelty, or any other objectively reasonable aspect, as well as the internationally reached agreements.”  </w:t>
        <w:br/>
        <w:t xml:space="preserve">5. AFFECTED MARKET  </w:t>
        <w:br/>
        <w:t xml:space="preserve">(38) DAMA and SGAE compete in the management and granting of authorizations for the rights of directors and screenwriters of audiovisual works.  </w:t>
        <w:br/>
        <w:t xml:space="preserve">(39) The precedent S/0641/18 DAMA-UNISON RIGHTS VS SGAE already established the markets in which DAMA and SGAE operate, starting from the premise that these markets must be segmented for reasons of substitutability of demand and supply by (i) type of work (cinematic, plastic, etc.), (ii) category or modality of  </w:t>
        <w:br/>
        <w:t xml:space="preserve">30 In this file, there are four models of management contracts from SGAE whose validity has been successively replaced: pages 194-205, 677-688, 908-930, 1810-1823 (the latter model in force since March 25, 2021, according to page 1748).  </w:t>
        <w:br/>
        <w:t xml:space="preserve">31 Law 2/2019, of March 1st, which modifies the consolidated text of the Intellectual Property Law, approved by Royal Legislative Decree 1/1996, of April 12th, and which incorporates into the Spanish legal system Directive 2014/26/EU of the European Parliament and of the Council, of February 26, 2014, and Directive (EU) 2017/1564 of the European Parliament and of the Council, of September 13, 2017.  </w:t>
        <w:br/>
        <w:t xml:space="preserve">32 “Chapter II regulates the legal situation of the intellectual property rights holder in relation to the management entity and, fundamentally, the legal instrument that articulates it: the management contract. Through this contract, the rights holder, without transferring ownership of the same, entrusts its management to a management entity. As a novelty, the consolidated text includes the right of the holder to revoke their contract in whole or in part, provided that they give reasonable notice not exceeding six months, which will be regulated in the statutes of each management entity.”  </w:t>
        <w:br/>
        <w:t xml:space="preserve">National Commission on Markets and Competition 10 of 27  </w:t>
        <w:br/>
        <w:t xml:space="preserve">C/ Alcalá, 47 – 28014 Madrid - C/ Bolivia, 56 – 08018 Barcelona  </w:t>
        <w:br/>
        <w:t>www.cnmc.es</w:t>
      </w:r>
    </w:p>
    <w:p>
      <w:r>
        <w:t xml:space="preserve">S/0012/23  </w:t>
        <w:br/>
        <w:t xml:space="preserve">DAMA VS SGAE II  </w:t>
        <w:br/>
        <w:t xml:space="preserve">right (reproduction, distribution, etc.) and (iii) user category (radio operators, audiovisual communication operators, etc.)33.  </w:t>
        <w:br/>
        <w:t xml:space="preserve">(40) Thus, in view of the markets already defined in the aforementioned precedent and the specific behaviors subject to this file, the following markets can be considered relevant:  </w:t>
        <w:br/>
        <w:t xml:space="preserve">• the market for the management of rights of authors and other rights holders over audiovisual works (voluntary collective management);  </w:t>
        <w:br/>
        <w:t xml:space="preserve">• the markets for the management of remuneration rights (mandatory collective management) provided for in Article 90.4 of the TRLPI corresponding to two of the three types of authors of audiovisual works referred to in Article 87 of the TRLPI (directors and screenwriters); and  </w:t>
        <w:br/>
        <w:t xml:space="preserve">• the market for granting usage authorizations for the reproduction and public communication of audiovisual works for the audiovisual communication service of television (linear or on demand).  </w:t>
        <w:br/>
        <w:t xml:space="preserve">(41) Following also the aforementioned precedent, these markets would have a national geographical scope34.  </w:t>
        <w:br/>
        <w:t xml:space="preserve">6. FACTS AND CONDUCT REPORTED  </w:t>
        <w:br/>
        <w:t xml:space="preserve">6.1. Duration of management contracts  </w:t>
        <w:br/>
        <w:t xml:space="preserve">(42) At the time of the filing of the complaint in July 201635, Article 16.4 ES established that the contract would have a duration of three years, which would be extended indefinitely for equal periods, unless written notice was given by the granting holder with one year's notice before its initial expiration or that of its last extension. In this regard, the first paragraph of clause six of the SGAE management contract model provided that the duration of the contract would be three years, extendable indefinitely for periods also of three years. However, this same clause included an additional provision regarding directors, producers, and screenwriters, for whom the duration of the extensions was limited to one year in application of the conventional termination with which the file 2398/02 DAMA/SGAE was concluded in 200736.  </w:t>
        <w:br/>
        <w:t xml:space="preserve">(43) Currently, Article 14.6º ES37 establishes “an initial duration of three years, renewable indefinitely from year to year” for any management contract.  </w:t>
        <w:br/>
        <w:t xml:space="preserve">6.2. Assignment of rights  </w:t>
        <w:br/>
        <w:t xml:space="preserve">(44) The first clause of the management contract model establishes that the holder exclusively assigns to SGAE, for its management and administration, the rights of reproduction, distribution, public communication, transformation, and remuneration for private copying of the works38.  </w:t>
        <w:br/>
        <w:t xml:space="preserve">(45) In the management contract models in force until March 25, 202139, the third clause established that the contract extends to future works produced while the contract was in force40. In the management contract model in force from March 25, 2021, the fourth clause eliminates this provision and establishes the holder's authority to include or not the works they create during the term of the contract41.  </w:t>
        <w:br/>
        <w:t xml:space="preserve">6.3. Withdrawal of members  </w:t>
        <w:br/>
        <w:t xml:space="preserve">(46) The ES in force at the time of the complaint filed on July 16, 2016, provided that SGAE could grant members an advance  </w:t>
        <w:br/>
        <w:t xml:space="preserve">36 Pages 197 and 680. “The duration of this contract will be three years from the day of the admission of the HOLDER and will be extended indefinitely for equal periods, unless written notice is given by the HOLDER with one year's notice before its initial expiration or that of its last extension. In the event of termination of the contract, the effective expiration will occur on December 31 of the year of termination of the contract, maintaining the obligations of the parties until that moment. Notwithstanding the provisions of the preceding paragraph and in accordance with the Transitional Provision NINTH of the Statutes of the ENTITY, regarding authors belonging to the professional groups of directors, producers, and screenwriters, the provisions established in COMMITMENT 4 of the Agreement of conventional termination of file 239802, followed before the Competition Defense Service, of November 27, 2003, will apply, which establishes that the duration of the management contract for said professional groups will be three years, automatically extending for periods of one year, unless terminated by the HOLDER, communicated in writing to SGAE before September 30 of the calendar year, and taking effect from January 1 of the following year.” Emphasis added.  </w:t>
        <w:br/>
        <w:t xml:space="preserve">37 Available on the entity's website, https://www.sgae.es/sobre-sgae/normativa-y-estatutos/  </w:t>
        <w:br/>
        <w:t xml:space="preserve">38 Page 195. “By virtue of this contract and subject to the conditions established later, the HOLDER exclusively assigns to the ENTITY, for its management and administration, the following rights, with the exceptions expressed in the second clause (...).” Emphasis added.  </w:t>
        <w:br/>
        <w:t xml:space="preserve">39 Pages 195, 678, and 909.  </w:t>
        <w:br/>
        <w:t xml:space="preserve">40 Page 195. “(...) Regarding future works, both original and derived, the HOLDER undertakes to include them within this contract as long as it is in force (...).”  </w:t>
        <w:br/>
        <w:t xml:space="preserve">41 Page 1811.  </w:t>
        <w:br/>
        <w:t xml:space="preserve">National Commission on Markets and Competition 12 of 27  </w:t>
        <w:br/>
        <w:t xml:space="preserve">C/ Alcalá, 47 – 28014 Madrid - C/ Bolivia, 56 – 08018 Barcelona  </w:t>
        <w:br/>
        <w:t>www.cnmc.es</w:t>
      </w:r>
    </w:p>
    <w:p>
      <w:r>
        <w:rPr>
          <w:b/>
        </w:rPr>
        <w:t>[Pages 13–15]</w:t>
      </w:r>
    </w:p>
    <w:p>
      <w:r>
        <w:t xml:space="preserve">S/0012/23  </w:t>
        <w:br/>
        <w:t xml:space="preserve">DAMA VS SGAE II  </w:t>
        <w:br/>
        <w:t xml:space="preserve">monetary based on the forecast of future distributions of rights and that the cancellation would not take effect until the return of the advance42.  </w:t>
        <w:br/>
        <w:t xml:space="preserve">(47) DAMA has provided the correspondence maintained between a member of SGAE who requests to unsubscribe and this entity. In this case, SGAE informs the requester that the cancellation cannot be materialized until the outstanding balance of the loan on the copyright that remains to be settled is amortized43.  </w:t>
        <w:br/>
        <w:t xml:space="preserve">(48) Likewise, DAMA provides eight requests to the Ministry of Culture, sent by rights holders who have unsubscribed from SGAE to register with DAMA, lodging complaints about the delay and in some cases the stoppage of payments in favor of the corresponding rights holder during the last semester of the year in which the rights holder was a member of SGAE44.  </w:t>
        <w:br/>
        <w:t xml:space="preserve">(49) Other entities such as SEDA45 or DAMA46 also provide that the rights subject to revocation shall be considered as collateral for the payment of outstanding balances with the entity at the time of cancellation.  </w:t>
        <w:br/>
        <w:t xml:space="preserve">(50) In 2023, DAMA and SGAE signed a Memorandum of Understanding whose purpose was to formalize certain agreements reached between both entities to resolve the conflicts that led to the complaint filed by DAMA, such as the recognition of the scope of the repertoire of each of them, the treatment of members who decide to switch from one entity to another, or the settlement of various cross debts47.  </w:t>
        <w:br/>
        <w:t xml:space="preserve">42 Arts. 24.2 ES: “In accordance with the provisions of Article 14, the loss of membership status shall entail the obligation to immediately return to the Society everything that the member has received from it on account of their rights, as well as the maturity of any debts they may have outstanding with it for any reason.”  </w:t>
        <w:br/>
        <w:t xml:space="preserve">43 Folio 247.  </w:t>
        <w:br/>
        <w:t xml:space="preserve">44 Folios 233 to 293.  </w:t>
        <w:br/>
        <w:t xml:space="preserve">45 Art. 16 of the SEDA statutes: “In the event that the rights holder owes amounts to the management entity due to advances on account of future distributions of rights, or for any other reason, the rights subject to total or partial revocation shall be considered as collateral for the payment of outstanding balances, unless another agreement is reached for the amortization of the outstanding balances.” https://www.sedamusica.es/estatutos#ARTICULO16.  </w:t>
        <w:br/>
        <w:t xml:space="preserve">46 Art. 19.7 of the DAMA statutes: “In the event that, at the time the total or partial revocation of the mandate takes effect, the rights holder owes amounts to the management entity due to advances on account of future distributions of rights that may have been granted to them, the Entity shall not retain the management of the rights, categories of rights, types of works, and territories subject to total or partial revocation, even if the debt has not been canceled. The parties shall agree on the terms of the total or partial amortization of the outstanding balances of the advances that are documented. In the event that an agreement is not reached, the proceeds from the exploitation of the rights subject to total or partial revocation shall be considered as collateral for the payment of the outstanding balances of documented advances.” https://www.damautor.es/transparencia  </w:t>
        <w:br/>
        <w:t xml:space="preserve">47 Folio 2373-2375.  </w:t>
        <w:br/>
        <w:t xml:space="preserve">Comisión Nacional de los Mercados y la Competencia 13 de 27  </w:t>
        <w:br/>
        <w:t xml:space="preserve">C/ Alcalá, 47 – 28014 Madrid - C/ Bolivia, 56 – 08018 Barcelona  </w:t>
        <w:br/>
        <w:t>www.cnmc.es</w:t>
      </w:r>
    </w:p>
    <w:p>
      <w:r>
        <w:t xml:space="preserve">S/0012/23  </w:t>
        <w:br/>
        <w:t xml:space="preserve">DAMA VS SGAE II  </w:t>
        <w:br/>
        <w:t xml:space="preserve">6.4. Television Premiere Bonuses  </w:t>
        <w:br/>
        <w:t xml:space="preserve">(51) For the purposes of distributing the collected amounts, the wording of Art. 203 RS in force at the time of the complaint filed in July 2016 established a bonus for certain premieres on television of specific audiovisual works48. According to SGAE, this article was eliminated in the amendment approved at the Ordinary General Assembly on June 23, 202149. Subsequently, on May 30, 2023, the Ordinary General Assembly of SGAE approved a new system of bonuses for television premieres50.  </w:t>
        <w:br/>
        <w:t xml:space="preserve">(52) Specifically, Art. 203.1 RS in force until June 2021 established a bonus for the television premiere of certain audiovisual works. For these bonuses to be applicable, two conditions had to be met: (i) that the first television broadcast of the work in question was carried out through any of the television bodies with which SGAE had signed a contract-authorization for the use of its repertoire, under which they were obliged to periodically submit a complete declaration of the works used; and (ii) that the applicable distribution rule provided that this should be done in proportion to the degree of use of the works51.  </w:t>
        <w:br/>
        <w:t xml:space="preserve">6.5. Rates for Thematic Television Channels  </w:t>
        <w:br/>
        <w:t xml:space="preserve">(53) The general rates of 2016 provided, for television broadcasters, (i) an effective use rate for generalist channels (with heterogeneous programming), (ii) specific use rates for thematic channels (dedicated to a specific type of programming52), and (iii) a general availability rate53.  </w:t>
        <w:br/>
        <w:t xml:space="preserve">(54) Regarding thematic channels where a stable and consolidated presence of SGAE's repertoire was verified, these general rates offered operators the possibility to opt for specific rates calculated based on the degree of use of the repertoire over the total broadcast time “in order to avoid the ongoing costs of measurements”54.  </w:t>
        <w:br/>
        <w:t xml:space="preserve">6.6. Rates and Distribution  </w:t>
        <w:br/>
        <w:t xml:space="preserve">(55) Chapter V of the SGAE tariff catalog (in force at the time of the complaints) contains the rates for television broadcasters. It is noted that the rates for audiovisual works are lower than the rates for musical works. For example, the rates established that the percentage to be applied for the effective use of a musical work would be 7.1% of the gross income of the channel while the percentage to be applied for the effective use of the audiovisual work would be 1.82% on that same basis, that is, the former was almost four times higher than the latter55.  </w:t>
        <w:br/>
        <w:t xml:space="preserve">(56) The distribution system of the collected amounts is regulated in Title II of Book IV of the RS. Each modality of origin of the rights has its own defined distribution rule. SGAE indicates that distributions are always subsequent to the collection, as it is necessary to process the information, so that part of what is distributed in one year will have been collected in the previous calendar year, that there are certain mechanisms that make it impossible for income and distributions to match exactly, such as the amounts assigned to “works pending identification” or the allocation to reserves, and that the breakdowns are different in the distributions (by mode of exploitation and not by type of work) and in the income56.  </w:t>
        <w:br/>
        <w:t xml:space="preserve">6.7. Treatment of Music Videos  </w:t>
        <w:br/>
        <w:t xml:space="preserve">(57) The RS considers that music videos or video clips are works of minor rights (comparing them to musical works or other non-audiovisual minor rights works, rather than to an audiovisual work). This document establishes that “[s]the music video is considered a visual realization of a pre-existing musical work that usually uses a videographic medium, analog or digital, and is intended for commercial or promotional exploitation”57.  </w:t>
        <w:br/>
        <w:t xml:space="preserve">(58) In the case of digital networks, the rate for music videos is calculated by applying a percentage of 10% (in the mode of on-demand music without download) to the base  </w:t>
        <w:br/>
        <w:t xml:space="preserve">54 Folios 477-479 and 665-666.  </w:t>
        <w:br/>
        <w:t xml:space="preserve">55 Folio 475.  </w:t>
        <w:br/>
        <w:t xml:space="preserve">56 Folios 2242-2246.  </w:t>
        <w:br/>
        <w:t xml:space="preserve">57 Folio 592.  </w:t>
        <w:br/>
        <w:t xml:space="preserve">Comisión Nacional de los Mercados y la Competencia 15 de 27  </w:t>
        <w:br/>
        <w:t xml:space="preserve">C/ Alcalá, 47 – 28014 Madrid - C/ Bolivia, 56 – 08018 Barcelona  </w:t>
        <w:br/>
        <w:t>www.cnmc.es</w:t>
      </w:r>
    </w:p>
    <w:p>
      <w:r>
        <w:rPr>
          <w:b/>
        </w:rPr>
        <w:t>[Pages 16–18]</w:t>
      </w:r>
    </w:p>
    <w:p>
      <w:r>
        <w:t xml:space="preserve">S/0012/23  </w:t>
        <w:br/>
        <w:t xml:space="preserve">DAMA VS SGAE II  </w:t>
        <w:br/>
        <w:t xml:space="preserve">of the fee, while the fee for audiovisual works is calculated by applying the percentage of 2.5% (video on demand modality) to the fee base58.  </w:t>
        <w:br/>
        <w:t xml:space="preserve">(59) In the case of television, SGAE uses a points system to distribute this collection among the different authors. The higher the score, the greater the amount paid to the authors of that type of work from the total collected. Article 202 RS assigns a score of 45 points to music videos, being considered as "small non-audiovisual work," and 5 points to audiovisual works.  </w:t>
        <w:br/>
        <w:t xml:space="preserve">6.8. The Audiovisual Fund  </w:t>
        <w:br/>
        <w:t xml:space="preserve">(60) SGAE created in 2008 the so-called "Audiovisual Fund," within the framework of the agreement reached with the authors' associations of the United States Directors Guild of America (DGA) and Writers Guild of America (WGA). This agreement provided for a fixed annual fee to be paid by SGAE to these associations. When the amount actually collected from the rights of its authors exceeded this fixed fee, a surplus arose that SGAE could freely dispose of. One of the uses for this surplus was the revaluation of the audiovisual repertoire, which involved increasing the distribution for directors and literary authors of Spanish audiovisual works59.  </w:t>
        <w:br/>
        <w:t xml:space="preserve">(61) SGAE explains that this fund no longer exists, as since 2018 DAMA has managed all the American repertoire60.  </w:t>
        <w:br/>
        <w:t xml:space="preserve">7. LEGAL GROUNDS  </w:t>
        <w:br/>
        <w:t xml:space="preserve">7.1. Competence to resolve  </w:t>
        <w:br/>
        <w:t xml:space="preserve">(62) According to Article 5.1.c) of the Law creating the National Commission on Markets and Competition, this Agency is responsible for "applying the provisions of Law 15/2007, of July 3, regarding behaviors that prevent, restrict, and distort competition"61. Article 20.2 of the same Law assigns to the Council the function of "resolving sanctioning procedures."  </w:t>
        <w:br/>
        <w:t xml:space="preserve">(63) Consequently, the authority to resolve this procedure corresponds to the Competition Chamber of the CNMC Council.  </w:t>
        <w:br/>
        <w:t xml:space="preserve">7.2. Subject of the file and proposal of the instructing body  </w:t>
        <w:br/>
        <w:t xml:space="preserve">(64) This Chamber must assess in the present agreement whether the requirements for the application of Article 49.3 of the LDC are met, that is, the absence of indications of infringement, in order, as proposed by the DC, to agree on the non-initiation of the sanctioning procedure and the filing of the actions carried out to date.  </w:t>
        <w:br/>
        <w:t xml:space="preserve">(65) Article 49.1 of the LDC provides that the DC shall initiate a sanctioning file when it observes reasonable indications of the existence of prohibited behaviors in Articles 1, 2, and 3 of the same Law. However, in number 3 of the aforementioned Article 49, it is added that the Council, at the proposal of the DC, shall agree not to initiate a sanctioning procedure and, consequently, to file the actions carried out, when it considers that there are no indications of infringement.  </w:t>
        <w:br/>
        <w:t xml:space="preserve">(66) On the other hand, Article 27.1 of the RDC stipulates that: "1. In order for the Council of the National Commission on Competition [current CNMC] to agree not to initiate a procedure and to file the actions in the terms established in Articles 44 and 49.3 of Law 15/2007, of July 3, the Directorate of Investigation [current Directorate of Competition] shall forward the received complaint, the prior actions carried out, if applicable, and a proposal for filing."  </w:t>
        <w:br/>
        <w:t xml:space="preserve">(67) In its report of June 8, 2026, the DC proposed to this Chamber the non-initiation of the sanctioning procedure and the filing of the actions, in accordance with the provisions of Article 49.3 of the LDC, as it considers that, in relation to the reported facts, there are no indications of infringement of the LDC.  </w:t>
        <w:br/>
        <w:t xml:space="preserve">(68) In particular, the DC points out that, with the available information, there are not sufficient indications of abuse of a potential dominant position of SGAE that justify the opening of a sanctioning procedure in relation to the behaviors reported by DAMA addressed in this file.  </w:t>
        <w:br/>
        <w:t xml:space="preserve">7.3. Assessment of the Competition Chamber  </w:t>
        <w:br/>
        <w:t xml:space="preserve">(69) This Chamber agrees with the conclusions reached by the Directorate of Competition in its proposal for non-initiation of the sanctioning file and filing, and adopts the reasoning contained therein, which is reproduced below:  </w:t>
        <w:br/>
        <w:t xml:space="preserve">7.3.1. Dominant position of SGAE  </w:t>
        <w:br/>
        <w:t xml:space="preserve">(70) The reported anticompetitive practices would potentially fall within Articles 2 LDC and 102 TFEU. These articles prohibit the abusive exploitation by one or more companies of their dominant position in all or part of the national market. Although there are two elements of the type that must coexist to appreciate the infringement (dominant position and abuse of that position), in this case, in view of the conclusions reached regarding the possible abusive conduct of SGAE, this Chamber considers that it is not necessary to pronounce on its dominant position in the markets indicated in the proposal for filing as it does not affect the conclusions of the analysis, without prejudice to the fact that this CNMC has already concluded that SGAE maintained a dominant position from at least January 1, 2016, to at least December 31, 2017, in some of the relevant markets affected in this file63.  </w:t>
        <w:br/>
        <w:t xml:space="preserve">7.3.2. Abuse of the dominant position by SGAE  </w:t>
        <w:br/>
        <w:t xml:space="preserve">7.3.2.1. On the duration of management contracts and their extensions  </w:t>
        <w:br/>
        <w:t>(71) DAMA reported in July 201664 that the durations established in the SGAE management contract model were contrary to the legal maximum (then provided for in Article 153 TRLPI65) and abusive, as they provided for durations of three years extendable for another three, and could have exclusionary effects, making it difficult for members to change entities.</w:t>
      </w:r>
    </w:p>
    <w:p>
      <w:r>
        <w:rPr>
          <w:b/>
        </w:rPr>
        <w:t>[Pages 19–21]</w:t>
      </w:r>
    </w:p>
    <w:p>
      <w:r>
        <w:t xml:space="preserve">S/0012/23  </w:t>
        <w:br/>
        <w:t xml:space="preserve">DAMA VS SGAE II  </w:t>
        <w:br/>
        <w:t xml:space="preserve">(72) Management contracts, until November 2014, had no time limit. On that date, a duration not exceeding five years and annual extensions66 was introduced in the TRLPI. However, SGAE had already introduced annual extensions for directors, producers, screenwriters, and scriptwriters by the time of DAMA's first complaint in July 201667. The limitation to one year for the duration of these extensions was made applicable to the rest of the authors generally starting in 2017, as evidenced by the management contract model provided by DAMA along with its second complaint in July 201768.  </w:t>
        <w:br/>
        <w:t xml:space="preserve">(73) In light of the above, this Chamber, in accordance with the consideration of the DC, notes the lack of indications of infringement due to abuse of dominant position concerning the durations provided for SGAE's management contracts.  </w:t>
        <w:br/>
        <w:t xml:space="preserve">7.3.2.2. On the assignment of rights  </w:t>
        <w:br/>
        <w:t xml:space="preserve">(74) DAMA emphasizes that the contract with SGAE provides for the assignment of rights for their management and administration, and not merely the entrustment of rights management. It also points out that the exclusivity granted to SGAE is unnecessary. Furthermore, DAMA considers that SGAE abusively imposes on authors in the management contracts the universal assignment of exploitation rights over present and future works, in all their modes of exploitation.  </w:t>
        <w:br/>
        <w:t xml:space="preserve">(75) It cannot be ruled out that in other contexts these behaviors could lead to anticompetitive effects. However, in this specific case, the DC, in an argument that this Chamber now adopts, does not consider the contractual formula used to be restrictive of competition since, regardless of its legality concerning the regulatory framework of intellectual property rights in Spain, it is not perceived that its use could lead to exclusionary effects on other operators or other restrictive effects on competition in the markets specifically affected by the practice in question, as evidenced by the fact that DAMA has been able to consolidate the management of a  </w:t>
        <w:br/>
        <w:t xml:space="preserve">66 The current Article 158 TRLPI establishes that the duration of the management contract may not exceed three years, renewable “for periods of one year.”  </w:t>
        <w:br/>
        <w:t xml:space="preserve">67 In fact, in section 6 of the CNC Resolution of December 5, 2012 (page 6) that agrees to close the monitoring of file VATC/630/07, DAMA SGAE, it is indicated that the Directorate of Investigation assessed in its Monitoring Report that: “[s]the binding period for authors has been shortened, so that the initial duration of the contract was three years, renewable for periods of one year (commitment 4).”  </w:t>
        <w:br/>
        <w:t xml:space="preserve">68 Page 911.  </w:t>
        <w:br/>
        <w:t xml:space="preserve">Comisión Nacional de los Mercados y la Competencia 19 de 27  </w:t>
        <w:br/>
        <w:t xml:space="preserve">C/ Alcalá, 47 – 28014 Madrid - C/ Bolivia, 56 – 08018 Barcelona  </w:t>
        <w:br/>
        <w:t>www.cnmc.es</w:t>
      </w:r>
    </w:p>
    <w:p>
      <w:r>
        <w:t xml:space="preserve">S/0012/23  </w:t>
        <w:br/>
        <w:t xml:space="preserve">DAMA VS SGAE II  </w:t>
        <w:br/>
        <w:t xml:space="preserve">significant portfolio of authors of audiovisual works without hindering the development of their economic activity.  </w:t>
        <w:br/>
        <w:t xml:space="preserve">(76) In any case, regarding the imposition on authors of the universal assignment of their exploitation rights over present and future works in the management contracts, it has been established that this circumstance ceased in 2021.  </w:t>
        <w:br/>
        <w:t xml:space="preserve">7.3.2.3. On the resignation of members  </w:t>
        <w:br/>
        <w:t xml:space="preserve">(77) DAMA reported the clause in SGAE's statutes providing for the immediate expiration of advances received by the member when they resign from SGAE and the non-processing of such resignation until the full repayment of those advances. It also reported the suspension of pending payments to those members who resign from SGAE, providing in this regard the complaints of eight authors.  </w:t>
        <w:br/>
        <w:t xml:space="preserve">(78) While the establishment of switching costs to the detriment of members can theoretically be used to disincentivize their resignations and create an exclusionary strategy against competing entities, this Chamber does not consider that the article reproduced in section 6.3 unjustifiably restricts the ability of authors to entrust their rights to alternative management entities. The provision that, once the author ceases to be a member of SGAE, they must return the advance payments they have received in advance from the entity and have the obligation to settle their debts with it is not objectionable, given that SGAE cannot offset debts or advance payments with future income (beyond those accrued pending distribution, if applicable).  </w:t>
        <w:br/>
        <w:t xml:space="preserve">(79) The fact that these regimes for settling advances in the event of a member's resignation are common in the sector, in one form or another, would reinforce the consideration that they respond to a need inherent to the operation of the sector.  </w:t>
        <w:br/>
        <w:t xml:space="preserve">(80) Furthermore, the documentation provided by the complainant regarding cases of delays or temporary suspension of pending payments to members who have switched entities, limited to a very small number of members, does not constitute sufficient evidence of illegal conduct by SGAE. In fact, all these reported cases occurred before the regulation that expressly prohibits the retention of  </w:t>
        <w:br/>
        <w:t xml:space="preserve">Comisión Nacional de los Mercados y la Competencia 20 de 27  </w:t>
        <w:br/>
        <w:t xml:space="preserve">C/ Alcalá, 47 – 28014 Madrid - C/ Bolivia, 56 – 08018 Barcelona  </w:t>
        <w:br/>
        <w:t>www.cnmc.es</w:t>
      </w:r>
    </w:p>
    <w:p>
      <w:r>
        <w:t xml:space="preserve">S/0012/23  </w:t>
        <w:br/>
        <w:t xml:space="preserve">DAMA VS SGAE II  </w:t>
        <w:br/>
        <w:t xml:space="preserve">management of the rights subject to revocation came into force on March 3, 2019, even if the debt has not been canceled69.  </w:t>
        <w:br/>
        <w:t xml:space="preserve">(81) Additionally, SGAE explains that it is offering DAMA ways to expedite these payments70. So much so that in 2023, DAMA and SGAE reached a definitive agreement to manage these issues, namely, the treatment of members who switch from one entity to another and the settlement of cross debts.  </w:t>
        <w:br/>
        <w:t xml:space="preserve">(82) In light of the above and considering the limited scope of the reported practices, this Chamber does not perceive indications of infringement due to abuse of dominant position concerning SGAE's statutory provisions related to the resignation of members.  </w:t>
        <w:br/>
        <w:t xml:space="preserve">7.3.2.4. On the bonuses for television premieres  </w:t>
        <w:br/>
        <w:t xml:space="preserve">(83) DAMA reported that the bonuses for premieres were only granted for audiovisual works and major rights, but not for musical works or music videos, which in practice favored Spanish works over foreign ones, and that they only applied to television stations with an agreement with SGAE. All of this would constitute, according to DAMA, a series of unjustified discriminations.  </w:t>
        <w:br/>
        <w:t xml:space="preserve">(84) The fact that a management entity treats differently works or rights that are distinct is not per se an abusive discrimination. In this case, moreover, the use of bonuses is governed by a series of clear and objective criteria, which determine both the scope of application (premieres of certain works) and their amount (multiples of the normal valuations for those works). Additionally, it should be noted that bonuses are applied only to the premiere, that is, to a single broadcast, which limits their use and potential impact. Furthermore, according to the provision of Article 177.3 TRLPI, SGAE has the legal authority to establish specific distribution rules that prioritize certain works over others, taking into account, among other factors, the primacy of the work (a characteristic that is undoubtedly present in the case of a premiere).  </w:t>
        <w:br/>
        <w:t xml:space="preserve">(85) Additionally, the DC considers it significant, a criterion that this Chamber now adopts, that the existence of bonuses for premieres dates back to 1995, years before DAMA was authorized as a management entity and long before the risk of switching to an alternative management entity for the repertoire arose.  </w:t>
        <w:br/>
        <w:t xml:space="preserve">69 This provision was not introduced in Article 158.5 TRLPI until the entry into force of Law 2/2019, of March 1, modifying the previous regime provided for in the same article since 2018, which established, precisely, the possibility of retaining the management subject to revocation until the debt was canceled. Prior to April 15, 2018, there was no express regulation regarding this issue in the TRLPI.  </w:t>
        <w:br/>
        <w:t xml:space="preserve">70 Page 662.  </w:t>
        <w:br/>
        <w:t xml:space="preserve">Comisión Nacional de los Mercados y la Competencia 21 de 27  </w:t>
        <w:br/>
        <w:t xml:space="preserve">C/ Alcalá, 47 – 28014 Madrid - C/ Bolivia, 56 – 08018 Barcelona  </w:t>
        <w:br/>
        <w:t>www.cnmc.es</w:t>
      </w:r>
    </w:p>
    <w:p>
      <w:r>
        <w:rPr>
          <w:b/>
        </w:rPr>
        <w:t>[Pages 22–24]</w:t>
      </w:r>
    </w:p>
    <w:p>
      <w:r>
        <w:t xml:space="preserve">S/0012/23  </w:t>
        <w:br/>
        <w:t xml:space="preserve">DAMA VS SGAE II  </w:t>
        <w:br/>
        <w:t xml:space="preserve">traditionally represented abroad by SGAE through reciprocity agreements with foreign societies.  </w:t>
        <w:br/>
        <w:t xml:space="preserve">(86) For all the above reasons, this Chamber does not perceive that the premiere fees constitute arbitrariness or unjustified discrimination nor, therefore, indications of infringement due to abuse of dominant position in relation to these practices.  </w:t>
        <w:br/>
        <w:t xml:space="preserve">7.3.2.5. On the fees for thematic television channels  </w:t>
        <w:br/>
        <w:t xml:space="preserve">(87) DAMA also considers it abusive, due to discrimination against television operators, that there is a different fee depending on whether the television channel is generalist or thematic. DAMA understands that these differences between the fees for each type of channel are completely arbitrary, given that the economic value of intellectual property rights is the same whether disseminated through a thematic channel or a generalist channel. Furthermore, DAMA considers that the discriminatory treatment is aggravated, as the fees charged to television operators are applied differently if the thematic channel is integrated into an operator that also has generalist channels, in which case the fees corresponding to generalist channels are applied and not those of thematic channels.  </w:t>
        <w:br/>
        <w:t xml:space="preserve">(88) This Competition Chamber does not perceive indications of abuse in classifying channels, for tariff purposes, based on whether they are thematic or generalist channels, distinguishing the different categories based on the time of use of the repertoire. As long as the classification is based on a reasonable, objective parameter directly related to the economic value of the effective use of the rights in question (the use of the works in terms of time), as required by Article 157.1.b) of the TRLPI in force at the time of the complaint, it is not reproachable that this classification is used for the design and application of fees. Since they are different types of channels that use protected content with different intensity, there are no indications that unequal conditions are applied to equivalent performances that could generate a competitive disadvantage; rather, it would be attending to the criterion of the intensity and relevance of the use of the repertoire in the overall activity of the user as provided then in Article 157.1b).2º TRLPI and currently in 164.3.b) TRLPI.  </w:t>
        <w:br/>
        <w:t xml:space="preserve">(89) Furthermore, the use of the specific system reported is optional71; it is an alternative offered to the television operator who can choose between using the general system or the specially provided fees according to the predominant type of programming. In this context, without prejudice to the fact that this fee for thematic channels cannot be classified as a true fee for effective use72, it is true that this Chamber does not find indications that discrimination occurs that places some operators at a disadvantage compared to others, as all television operators would be offered both options.  </w:t>
        <w:br/>
        <w:t xml:space="preserve">7.3.2.6. On the fees and their distribution  </w:t>
        <w:br/>
        <w:t xml:space="preserve">(90) DAMA reports that the main problem with SGAE's fees is that the fees for rights to musical works are almost four times higher than the fees for rights to audiovisual works. For DAMA, this does not reflect the relative value of these rights.  </w:t>
        <w:br/>
        <w:t xml:space="preserve">(91) Moreover, DAMA reports that SGAE establishes a higher fee for musical works than for audiovisual works, generating a collection ratio of 80/20, but when distributing the collection among the authors of each type, this ratio is not maintained, but rather there is a transfer of collection from musical works to audiovisual works.  </w:t>
        <w:br/>
        <w:t xml:space="preserve">(92) The complainant believes that the proportion in the distribution or sharing should be the same as in the collection, and interprets that with this system SGAE seeks to maintain very low - predatory - fees for audiovisual works, to attract all television broadcasters that use them, while simultaneously offering an attractive distribution to the holders of these works, to attract all holders of these copyright. This would harm DAMA, which would be demonstrated, according to the complainant, in data on the number of associated authors, a number that goes from 308 authors in 2007 to 1,124 in 2019, a significantly lower increase than that of non-associated authors but managed by DAMA through agreements with foreign societies.  </w:t>
        <w:br/>
        <w:t xml:space="preserve">(93) The SGAE tariff brochure included in the file shows that the fees applicable to television broadcasters for audiovisual works and for musical works differ, and that they are higher for the latter. However, this is not considered indicatively abusive, as they are different works and different rights.  </w:t>
        <w:br/>
        <w:t xml:space="preserve">72 A circumstance already noted in paragraph 633 of the CNMC Council Resolution of June 19, 2024, regarding file S/0641/18 - DAMA-UNISON RIGHTS VS SGAE: “SGAE also refers to TUE as the fee applied to thematic channels where, depending on the time of use of musical or audiovisual content by a channel, one fee or another is applied (see paragraph (385)). However, since this fee for thematic channels does not take into account the specific effective use of the SGAE repertoire by the user, but only an indicator of the intensity of use, it cannot be classified as a true fee for effective use.”  </w:t>
        <w:br/>
        <w:t xml:space="preserve">(94) Regarding audiovisual works, the bulk of copyright and exclusive exploitation rights are presumed to be attributed ex lege to the producers73. Consequently, in most cases, DAMA and SGAE only manage the simple remuneration rights of Article 90.4 TRLPI of the audiovisual work. However, in the case of rights to musical works, SGAE manages the exclusive exploitation rights of its authors and not only the simple remuneration rights.  </w:t>
        <w:br/>
        <w:t xml:space="preserve">(95) On the other hand, the data on SGAE fees for audiovisual works show a continuous rise in these fees during the period 2009-2016, which is not indicative of predatory conduct of maintaining low prices.  </w:t>
        <w:br/>
        <w:t xml:space="preserve">(96) Regarding the relationship between collection and distribution, the information in the file by types of users does not provide sufficient indications of a direct transfer of funds collected from the works of one specific type of author to what is distributed to another type of author.  </w:t>
        <w:br/>
        <w:t xml:space="preserve">(97) Several aspects hinder establishing a direct correspondence between collection and distribution that would allow clarifying the existence of indications of cross-subsidies. On one hand, the conflicts and litigation regarding the fees, particularly in the case of television broadcasters, result in the proliferation of advance payments that reference past amounts74. For example, SGAE's management reports75 indicate that increases in collection are explained in certain years by the recovery of rights accrued by large media groups after the resolution of certain disputes. These issues, combined with the asynchrony between collection and distribution, could explain the lack of identity between the amounts collected and distributed in a given year.  </w:t>
        <w:br/>
        <w:t xml:space="preserve">(98) On the other hand, SGAE76 points to several additional factors such as allocations to reserves, works pending identification, the different breakdown of income and distribution items, or the fact that neither bonuses nor the  </w:t>
        <w:br/>
        <w:t xml:space="preserve">73 Art. 88 TRLPI.  </w:t>
        <w:br/>
        <w:t xml:space="preserve">74 A circumstance already noted in paragraph 354 of the CNMC Council Resolution of June 19, 2024, regarding file S/0641/18 - DAMA-UNISON RIGHTS VS SGAE: “considering that SGAE has not reached an agreement with broadcasters for the application of the fees approved in 2016, the entity indicates that so far the previous fees, that is, those of 2015, have been applied. Thus, although after 2015 SGAE has approved several fees, in practice, those of 2015 continue to be applied.”  </w:t>
        <w:br/>
        <w:t xml:space="preserve">75 Folio 163.  </w:t>
        <w:br/>
        <w:t>76 Folios 2243-2245.</w:t>
      </w:r>
    </w:p>
    <w:p>
      <w:r>
        <w:rPr>
          <w:b/>
        </w:rPr>
        <w:t>[Pages 25–27]</w:t>
      </w:r>
    </w:p>
    <w:p>
      <w:r>
        <w:t xml:space="preserve">S/0012/23  </w:t>
        <w:br/>
        <w:t xml:space="preserve">DAMA VS SGAE II  </w:t>
        <w:br/>
        <w:t xml:space="preserve">discounts. Additionally, according to SGAE, the breakdowns of revenues and distributions are different, which complicates traceability.  </w:t>
        <w:br/>
        <w:t xml:space="preserve">(99) Regarding the data on the number of DAMA members, this Chamber considers that the sustained and uninterrupted increase in this number throughout the period cannot be regarded as an indication that the aforementioned conduct is driving DAMA out of the market, even though it is an increase lower than that observed for members of foreign entities (the latter data also depends on the signing of specific agreements). For the above reasons, this Chamber also does not find sufficient indications of infringement for abuse of a dominant position in relation to the reported behaviors concerning the differences between the rates, the amounts collected, and the amounts distributed by SGAE for the musical and audiovisual works for which it is responsible for rights management.  </w:t>
        <w:br/>
        <w:t xml:space="preserve">7.3.2.7. On the treatment of music videos  </w:t>
        <w:br/>
        <w:t xml:space="preserve">(100) DAMA points out that SGAE treats music videos as a musical work when, in its opinion, it should be considered an audiovisual work. For the complainant, this has a series of consequences both in the pricing of these works and in the distribution of the amounts collected. On the pricing side, DAMA indicates that the implication of this categorization results in a different pricing treatment for the case of use in digital networks. DAMA considers this disparity unjustified and that it would constitute an inequitable price for users. On the distribution side, DAMA claims that due to the scoring system used by SGAE, the authors of music videos would earn more than the authors of audiovisual works, and that this would constitute abusive discrimination.  </w:t>
        <w:br/>
        <w:t xml:space="preserve">(101) As indicated in section (58), the rate for music videos is higher than that for audiovisual works. SGAE explains that music videos are considered phonograms, as they do not have a script, and therefore are equated to a musical work (minor right). In this same line, the RS defines the music video as a “visual realization of a pre-existing musical work.” Consequently, the management of the distribution of music videos follows the distribution criteria of musical works. It indicates that the amount of rights received for music videos is greater than that received for the remuneration rights of the authors of audiovisual works, since in the latter case the exclusive right has been ceded to the audiovisual producer and does not form part of the distribution carried out by SGAE77.  </w:t>
        <w:br/>
        <w:t xml:space="preserve">77 Folios 1766 and 1767.  </w:t>
        <w:br/>
        <w:t xml:space="preserve">Comisión Nacional de los Mercados y la Competencia 25 de 27  </w:t>
        <w:br/>
        <w:t xml:space="preserve">C/ Alcalá, 47 – 28014 Madrid - C/ Bolivia, 56 – 08018 Barcelona  </w:t>
        <w:br/>
        <w:t>www.cnmc.es</w:t>
      </w:r>
    </w:p>
    <w:p>
      <w:r>
        <w:t xml:space="preserve">S/0012/23  </w:t>
        <w:br/>
        <w:t xml:space="preserve">DAMA VS SGAE II  </w:t>
        <w:br/>
        <w:t xml:space="preserve">(102) Discrimination can be considered abusive when unequal conditions are applied for equivalent performances, thereby creating a competitive disadvantage for the different business partners of the dominant company, which does not arise from the circumstances of this specific case78. This Chamber also understands that it cannot be ruled out that music videos are different from feature films and documentaries for several reasons: the fundamental objective of the music video is to promote the underlying phonogram, so it can be considered a transformation of that work, they lack a script in the strict sense79, and their duration is significantly shorter. In fact, the legal text itself distinguishes “cinematographic works” within audiovisual works (arts. 86 and 88 TRLPI).  </w:t>
        <w:br/>
        <w:t xml:space="preserve">(103) Therefore, the DC argues, a position that this Chamber now shares and adopts, that while SGAE grants a different treatment both in its rates and in the distribution of the rights corresponding to music videos compared to that which it provides to audiovisual works, these should not be considered equivalent performances given that they correspond to different works and rights and, consequently, no indications of abusive conduct by discrimination are appreciated in this regard.  </w:t>
        <w:br/>
        <w:t xml:space="preserve">7.3.2.8. On the Audiovisual Fund  </w:t>
        <w:br/>
        <w:t xml:space="preserve">(104) DAMA alleges that SGAE has underpaid foreign authors, thereby funding the audiovisual fund to increase the remuneration or distribution to national authors of audiovisual works. DAMA argues that this practice would have excluded it from the market as it could not offer national authors equally advantageous conditions. The complainant adds that with this supplement to the distribution, SGAE can compensate for the fact that its audiovisual rates are low.  </w:t>
        <w:br/>
        <w:t xml:space="preserve">(105) This Chamber does not identify in the file sufficient indications that this fund has had an abusive effect on American associations, which would actually have negotiating power with SGAE, or an exclusionary effect on DAMA, given the aforementioned points regarding distribution and rates for audiovisual works. On the other hand, the complaint itself admits that this fund would not infringe any rules or contracts. In any case, as indicated in section (60), since 2018 DAMA has managed the American repertoire; SGAE confirms that this fund does not currently exist as stated in section (61).  </w:t>
        <w:br/>
        <w:t xml:space="preserve">78 Judgment of the Court of Justice of April 19, 2018, MEO, C‑525/16, ECLI:EU:C:2018:270, paragraph 27.  </w:t>
        <w:br/>
        <w:t xml:space="preserve">79 Folio 2040, response from SGAE to the request for information of May 25, 2023.  </w:t>
        <w:br/>
        <w:t xml:space="preserve">Comisión Nacional de los Mercados y la Competencia 26 de 27  </w:t>
        <w:br/>
        <w:t xml:space="preserve">C/ Alcalá, 47 – 28014 Madrid - C/ Bolivia, 56 – 08018 Barcelona  </w:t>
        <w:br/>
        <w:t>www.cnmc.es</w:t>
      </w:r>
    </w:p>
    <w:p>
      <w:r>
        <w:t xml:space="preserve">S/0012/23  </w:t>
        <w:br/>
        <w:t xml:space="preserve">DAMA VS SGAE II  </w:t>
        <w:br/>
        <w:t xml:space="preserve">(106) In light of the above, this Chamber considers that there are not sufficient indications that the establishment and application of the Audiovisual Fund by SGAE could constitute an abuse of a dominant position in the terms alleged by DAMA.  </w:t>
        <w:br/>
        <w:t xml:space="preserve">7.3.3. Conclusion  </w:t>
        <w:br/>
        <w:t xml:space="preserve">(107) In view of all the above, this Competition Chamber considers that, with the available information, there are not sufficient indications of abuse of a potential dominant position of SGAE that justify the opening of a sanctioning procedure in relation to the behaviors reported by DAMA and analyzed in this agreement.  </w:t>
        <w:br/>
        <w:t xml:space="preserve">8. AGREES  </w:t>
        <w:br/>
        <w:t xml:space="preserve">Sole. Not to initiate a sanctioning procedure and to agree to the filing of the actions taken in file S/0012/23, considering that there are no indications of infringement of Law 15/2007, of July 3, on the Defense of Competition in this file.  </w:t>
        <w:br/>
        <w:t xml:space="preserve">Communicate this agreement to the Competition Directorate, and notify the complainant, informing them that there is no administrative appeal against it, and that they may file a contentious-administrative appeal in the National Court within two months from the day following its notification. Also communicate this to the accused.  </w:t>
        <w:br/>
        <w:t xml:space="preserve">Comisión Nacional de los Mercados y la Competencia 27 de 27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