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https://www.cnmc.es/expedientes/s001407</w:t>
      </w:r>
    </w:p>
    <w:p>
      <w:r>
        <w:t>Pages translated : 14</w:t>
      </w:r>
    </w:p>
    <w:p/>
    <w:p>
      <w:r>
        <w:rPr>
          <w:b/>
        </w:rPr>
        <w:t>[Pages 1–3]</w:t>
      </w:r>
    </w:p>
    <w:p>
      <w:r>
        <w:t xml:space="preserve">Id. Cendoj: 28079230062012100498  </w:t>
        <w:br/>
        <w:t xml:space="preserve">Body: National Court. Contentious Chamber  </w:t>
        <w:br/>
        <w:t xml:space="preserve">Seat: Madrid  </w:t>
        <w:br/>
        <w:t xml:space="preserve">Section: 6  </w:t>
        <w:br/>
        <w:t xml:space="preserve">Resolution No:  </w:t>
        <w:br/>
        <w:t xml:space="preserve">Date of Resolution: 10/15/2012  </w:t>
        <w:br/>
        <w:t xml:space="preserve">Appeal No: 204/2010  </w:t>
        <w:br/>
        <w:t xml:space="preserve">Jurisdiction: Contentious  </w:t>
        <w:br/>
        <w:t xml:space="preserve">Rapporteur: ANA ISABEL RESA GOMEZ  </w:t>
        <w:br/>
        <w:t xml:space="preserve">Procedure: CONTENTIOUS  </w:t>
        <w:br/>
        <w:t xml:space="preserve">Type of Resolution: Judgment  </w:t>
        <w:br/>
        <w:t xml:space="preserve">Language:  </w:t>
        <w:br/>
        <w:t xml:space="preserve">Spanish  </w:t>
        <w:br/>
        <w:t xml:space="preserve">JUDGMENT  </w:t>
        <w:br/>
        <w:t xml:space="preserve">Madrid, on the fifteenth of October two thousand twelve.  </w:t>
        <w:br/>
        <w:t xml:space="preserve">Having seen the contentious administrative appeal No. 204/2010 brought before this Sixth Section of the Contentious Administrative Chamber of the National Court by CESPA GESTION DE RESIDUOS S.A., represented by the Court Attorney Mr. Álvaro García de la Noceda against the resolution of the Council of the National Competition Commission (CNC) dated January 18, 2010 (file NUM001) "Management of Healthcare Waste" regarding conduct prohibited by the Competition Defense Law. The defendant Administration has been represented and defended by the State Attorney. Mr. Isidoro, Ms. Matilde, and the company Andaluza de Tratamientos de la Higiene SA (ATHISA) have intervened as co-defendants, represented by the Court Attorney Mr. Gustavo Gómez Molero and Interlun SL represented by the Court Attorney Mr. Alberto Hidalgo Martínez. The amount of the appeal is 2.6 million euros.  </w:t>
        <w:br/>
        <w:t xml:space="preserve">FACTUAL BACKGROUND  </w:t>
        <w:br/>
        <w:t xml:space="preserve">FIRST: On March 18, 2010, the legal representation of the plaintiff filed a contentious-administrative appeal against the act indicated in the heading of this judgment before this Contentious Administrative Chamber of the National Court. It was assigned to the Sixth Section where it was admitted for processing, requesting the administrative file. A claim was filed on February 7, 2011, in which the party requested that a judgment be issued estimating the appeal in accordance with the requests that are literally stated in the petition of the claim.  </w:t>
        <w:br/>
        <w:t>SECOND: The State Attorney was summoned to respond to the claim, which he did in writing, based on the facts and legal grounds he deemed applicable, ultimately requesting the dismissal of the present appeal, a request that was similarly reiterated by the co-defendants in their response.</w:t>
      </w:r>
    </w:p>
    <w:p>
      <w:r>
        <w:t xml:space="preserve">THIRD: Upon requesting the receipt of the case for evidence, the proposed evidence was declared pertinent with the result recorded in the files, and after the parties submitted their conclusions, the files were concluded and pending scheduling for voting and ruling, which took place on October 9, 2012.  </w:t>
        <w:br/>
        <w:t xml:space="preserve">LEGAL REASONING  </w:t>
        <w:br/>
        <w:t xml:space="preserve">FIRST: The contested act is the resolution of the Council of the National Competition Commission dated January 18, 2010 (file NUM001) "Management of Healthcare Waste" which declares that an infringement of Article 1.1 c) of Law 16/1989, of July 17 on the Defense of Competition has been proven, consisting of an agreement to divide public clients in the healthcare waste management market for which the companies Consenur, SA; Cespa, Gestión de Residuos, SA; Interlun, SL and Sistemas Integrales Sanitarios are responsible. This resolution imposes a fine of two million euros on the appellant company Cespa and also another infringement of Article 1 of Law 16/89 of July 17 on the Defense of Competition consisting of a non-compete agreement for which CESPA is responsible to exclude the company ATHISA from the market, imposing a fine of €600,000 on CESPA and ordering the publication of this resolution at the expense of the sanctioned parties in the BOE and in two general information newspapers, among those with the widest national circulation.  </w:t>
        <w:br/>
        <w:t xml:space="preserve">The CNC resolution considers that there is a single infringement consisting of a continued practice of market division in healthcare waste management carried out through various actions: 1) agreements to participate in public tenders as a Temporary Business Association (UTE) (CONCENUR and CESPA in Catalonia, Valencia, and Castilla-La Mancha and that of CONSENUR and SIS in Aragon) without demonstrating the objective necessity of it, or its efficiency and its impact in favor of the general interest, 2) the selective presentation to public tenders presenting to not win as CONSENUR and CESPA do in Extremadura, thus facilitating the award to INTERLUN or refraining from participating in certain tenders. All of this coordinated in meetings held among the accused and through the exchange of frequent communications that are evidenced in the file and that the accused have not denied took place.  </w:t>
        <w:br/>
        <w:t xml:space="preserve">SECOND: In order to substantiate the appeal, the following allegations are made:  </w:t>
        <w:br/>
        <w:t xml:space="preserve">1. Nullity of the resolution for violation of the fundamental right to the inviolability of the home based on a vitiated consent of the company’s responsible parties and the conscious concealment that the authorization for the practice of the home inspection had been judicially denied.  </w:t>
        <w:br/>
        <w:t xml:space="preserve">2. Nullity of the resolution for violation of the right to the secrecy of communications based on the massive and indiscriminate copying of electronic correspondence outside the objective scope of the inspection.  </w:t>
        <w:br/>
        <w:t xml:space="preserve">3. Nullity of the resolution as it declares CESPA's responsibility for an infringement of Article 1 LDC based on the legal exemption of the participation of UTES and the improper application of the presumption evidence.  </w:t>
        <w:br/>
        <w:t xml:space="preserve">4. Annulment of the resolution regarding the amount of the imposed sanction for being disproportionate and violating the principle of legality of administrative sanctions.  </w:t>
        <w:br/>
        <w:t xml:space="preserve">5. Annulment of the resolution insofar as it declares CESPA's responsibility for an infringement of Art. 1 LDC consisting of the non-compete clause contained in a business sale instrument as it is an ancillary clause aimed at preserving the asset value of the acquired entity and lacks an anticompetitive object.  </w:t>
        <w:br/>
        <w:t xml:space="preserve">6. Non-occurrence of the element of culpability with annulment of the imposed sanction or its reduction for being disproportionate.  </w:t>
        <w:br/>
        <w:t xml:space="preserve">7. Impropriety of the measure of publishing the resolution in the BOE and in two general information newspapers.  </w:t>
        <w:br/>
        <w:t xml:space="preserve">THIRD: Several of the issues raised in this appeal have already been resolved by this section in the judgment of March 2, 2011, in appeal 1/2010, in which CONSENUR, another of the sanctioned entities, challenged the same resolution through the procedure provided in Articles 114 and following of Law 29/98 on Contentious Administrative Jurisdiction. That judgment dismissed the appeal filed. Likewise, the judgment of July 9, 2012, of the Supreme Court has dismissed the appeal for cassation filed against it. From the same, it results that:  </w:t>
        <w:br/>
        <w:t xml:space="preserve">- The fundamental right to the inviolability of the home guaranteed by Article 18.2 of the CE has not been infringed for the following reasons: 1) there has been no disproportion in the search and obtaining of information during the raid as indiscriminate criteria were not followed given the limited scope in which the raid was concretized, consisting of the tracing and copying of files from only three computers; 2) it has not been shown that the Administration deviated from the judicial authorization or the inspection order, and 3) it has not been indicated that any specific document copied during the raid was outside the scope of the investigation.  </w:t>
        <w:br/>
        <w:t xml:space="preserve">- The fundamental right to the secrecy of communications regulated in Article 18.3 CE has not been violated because the interception of the same occurred with judicial authorization and no excess over it has been accredited, nor over the margins imposed by the Inspection order.  </w:t>
        <w:br/>
        <w:t>In the present case, it must be added in light of the specific allegations made by the plaintiff that the inspection carried out was conducted in accordance with Article 40 LDC, with Mr. Navarro Reverter, Director of the Legal Advisory, expressing his agreement to it, who, given his position, should have known the legal regulations for the Inspection by the CNC and since he alleges concealment and vitiation of consent, could well have stated in the Visit Act what he deemed pertinent in this regard and did not do so, therefore, in the absence of evidence of such nullity causes, this claim cannot prosper. Moreover, what constitutes a violation of the right to the inviolability of the home based on vitiated consent and therefore a reason to annul the contested resolution is subsequently used by that party in a contrary sense, as a means to mitigate the amount of the imposed sanction, stating that the consent given by the company for the inspection to proceed was an act of collaboration that should be appreciated as a mitigating factor in the grading of the sanction. That is to say, on one hand, it is intended to qualify an inspection action as null to then take advantage of the consequence of the same in support of its claim, as obviously there was either an act or there was not.</w:t>
      </w:r>
    </w:p>
    <w:p>
      <w:r>
        <w:rPr>
          <w:b/>
        </w:rPr>
        <w:t>[Pages 4–6]</w:t>
      </w:r>
    </w:p>
    <w:p>
      <w:r>
        <w:t>created and whether they have adhered to the requirements established in this law. Therefore, the argument that the actions of the UTEs are exempt from the prohibitions of the competition law based on this regulation cannot be accepted.</w:t>
      </w:r>
    </w:p>
    <w:p>
      <w:r>
        <w:t>SIXTH: It is necessary to clarify that the mere creation of a UTE to participate in a public tender does not constitute a prohibited agreement under Article 1 of Law 16/1989, meaning that they are not anticompetitive agreements per se, as they are fully legal figures recognized by legislation. In fact, public procurement processes explicitly state that companies may participate either individually or as Temporary Business Associations. The CNC resolution acknowledges that the creation of UTEs does not in itself constitute an anticompetitive agreement, and the agreements for their formation must be analyzed based on the characteristics of the companies involved and the specific context in which they occur. It refers to the Guidelines on the applicability of Article 81 of the EC Treaty to horizontal cooperation agreements (Official Journal No. C 003 of 06/01/2001) paragraph 143 and its own precedents. The TDC resolution of January 20, 2003 (case NUM000) on home respiratory therapies concludes that prior agreements between competitors that are UTEs would not fall under competition rules if they were the only way to provide this service. Otherwise, they are subject to competition rules, without prejudice to the possibility of being authorized by the CNC if the requirements established in Article 3 of Law 16/1989 are met. Additionally, they would also be authorized if the conduct had been carried out under the protection of a law (Article 2 of Law 16/1989). Therefore, UTEs are not an anticompetitive agreement that can be authorized under the terms established in the law, but rather the following distinction must be made, and the following scheme must be followed:</w:t>
      </w:r>
    </w:p>
    <w:p>
      <w:r>
        <w:t>The creation of UTEs does not constitute an anticompetitive agreement if the participating companies do not have sufficient technical or financial capacity to achieve the object of the tender on their own and therefore cannot participate individually. In that case, it is understood that since they are not potential competitors in the tender in question, no restriction of competition occurs (point 143 of the Guidelines on the applicability of Article 81 of the EC Treaty to horizontal cooperation agreements).</w:t>
      </w:r>
    </w:p>
    <w:p>
      <w:r>
        <w:t>If it is considered that the creation of UTEs constitutes an anticompetitive agreement, which as we have said requires that the participating companies have sufficient capacity to achieve the object of the tender on their own and can participate individually, a second phase opens, starting from the premise that there is an anticompetitive agreement, to analyze whether:</w:t>
      </w:r>
    </w:p>
    <w:p>
      <w:r>
        <w:t>1) The prohibitions of Article 1 are inapplicable because the anticompetitive agreement is covered by a law.</w:t>
        <w:br/>
        <w:t>2) The requirements of Article 3 of Law 16/1989 are met, that is, "that they are agreements or practices that contribute to improving the production or marketing of goods and services, or to promoting technical or economic progress, provided that: a) they allow consumers or users to participate adequately in their benefits. b) do not impose on the interested companies restrictions that are not indispensable for achieving those objectives, and c) do not allow the participating companies the possibility of eliminating competition regarding a substantial part of the products or services considered." It should be noted that during the validity of Law 16/1989, a singular authorization from the TDC was required in relation to the assumptions of Article 3, and currently, with the new Law 15/2007, a prior decision is not necessary, but the prohibition does not apply if the requirements established therein are met (Article 1.3 of Law 15/2007).</w:t>
      </w:r>
    </w:p>
    <w:p>
      <w:r>
        <w:t>It is important to clarify that in this judgment we will not analyze that first phase, that is, whether the agreement to participate in public tenders as a UTE constitutes one of the actions that integrate the conduct of dividing public clients in the healthcare waste management market, since, as we have pointed out, the Supreme Court ruling has already established that such conduct has been proven. We will also not analyze whether the conditions of Article 3 of Law 16/1989 are met, which allowed, in the event of participation, for such agreements to be authorized by the Competition Defense Tribunal (now Article 1.3 of Law 15/2007, where the existence of a singular authorization is no longer required for its application), since it is not recorded that the appellant has requested the corresponding administrative authorization in accordance with Article 4 of Law 16/1989.</w:t>
      </w:r>
    </w:p>
    <w:p>
      <w:r>
        <w:t>Therefore, what we will analyze is whether that restrictive agreement of competition is not prohibited as a consequence of the application of a law. Article 2.1 of the LDC referring to conduct authorized by law established in the wording given by Law 52/99: "Without prejudice to the eventual application of community provisions regarding competition defense, the prohibitions of Article 1 shall not apply to agreements, decisions, recommendations, and practices resulting from the application of a law." In the currently valid Competition Defense Law (Law 15/2007, of July 3), the exception is maintained in the same terms: "the prohibitions of this chapter shall not apply to conduct resulting from the application of a law." It must be understood that the application of Article 2.1 of LDC 16/1989 implies admitting the existence of conduct or practice that restricts competition as provided in Article 1.1 of Law 16/1989, of July 17, on Competition Defense, taking into account the criterion maintained by the Supreme Court, which in relation to Article 2.1 of LDC 16/1989 has established that such a clause is intended to directly and specifically exempt specific conduct that would otherwise fall under the prohibitions of the article (STS of November 4, 2008) or that this precept refers directly to agreements, decisions, recommendations, and practices that would otherwise fall under Article 1 of the law itself but that, because they are contemplated in a law or in the regulatory provisions issued in its execution, would be protected against said Article 1 (STS of October 27, 2005).</w:t>
      </w:r>
    </w:p>
    <w:p>
      <w:r>
        <w:t>To not apply the prohibition of Article 1 of the Competition Defense Law, it is necessary, according to the jurisprudence of the Supreme Court (STS of October 27, 2005, and STS of November 4, 2008), that this law "specifically authorizes agreements, decisions, recommendations, and practices that, but for its mediation, would fall under the prohibitions of Article 1." That is to say, the normative content of the same must be to exempt from the provisions of Article 1 of that law those specific conducts that the legislator wants to exclude from those prohibitions... and it should have been stated unequivocally.</w:t>
      </w:r>
    </w:p>
    <w:p>
      <w:r>
        <w:t>The party seeks to rely on Law 18/1982 of May 28 "on the tax regime of groupings and temporary unions of companies and regional industrial development companies" to argue that what they are doing is not a prohibited conduct, which cannot be accepted since that law was not intended to protect any conduct with anticompetitive results carried out by UTEs, but as indicated by its title and Article 1, it aimed to regulate the requirements for Temporary Business Unions to benefit from the tax regime provided therein. Furthermore, it specifically establishes in Article 2 that the activities and economic repercussions of Business Groupings and Temporary Business Unions will be subject to special monitoring by the Ministry of Finance, to verify whether their activity has been dedicated exclusively to fulfilling the purpose for which they were created and whether they have adhered to the requirements established in this law.</w:t>
      </w:r>
    </w:p>
    <w:p>
      <w:r>
        <w:rPr>
          <w:b/>
        </w:rPr>
        <w:t>[Pages 7–9]</w:t>
      </w:r>
    </w:p>
    <w:p>
      <w:r>
        <w:t>Article 2 states that the economic activities and repercussions of Business Groupings and Temporary Business Unions will be subject to special monitoring by the Ministry of Finance, to verify whether their activity has been dedicated exclusively to fulfilling the purpose for which they were established. The fulfillment of this function will be carried out by the Financial and Tax Inspection, without prejudice to, and independently of, the application by the corresponding Agencies or Courts of the ordinary or special measures established or that may be established to prevent monopolistic activities or restrictive practices of competition. Accepting the appellant's argument would imply that in any case when the bidding entity is a UTE, the prohibitions of Article 1 could never be applied, even when it is considered proven, as in this case, that there has been a restrictive conduct of competition. This is not what the legislator intended. Thus, Law 20/2007 of October 30 on Public Sector Contracts expressly establishes the eligibility to contract with the public sector for temporary business unions, but in the twenty-seventh additional provision, it expressly refers to practices contrary to free competition and states that the contracting bodies and the State Administrative Contracting Advisory Board will notify the National Competition Commission of any facts of which they become aware in the exercise of their functions that may constitute an infringement of competition defense legislation. In particular, they will communicate any indication of agreement, decision, or collective recommendation, or concerted or consciously parallel practice among bidders, which aims to, produces, or may produce the effect of preventing, restricting, or distorting competition in the contracting process.</w:t>
      </w:r>
    </w:p>
    <w:p>
      <w:r>
        <w:t>The Supreme Court ruling of July 6, 2010 refers to a different case, as in that case, unlike the one analyzed here, it was a specific law of the hydrocarbons sector that expressly allowed a certain exclusivity agreement subject to certain conditions in a context of market liberalization. Thus, Article 47 of Law 34/1998 established as a general principle that the retail marketing of packaged liquefied petroleum gases would be carried out freely, but as an exception, in paragraph three it stated that "exclusive supply agreements for packaged liquefied petroleum gases may only be established between the operators and marketers referred to in this article when home supply of packaged liquefied petroleum gases is guaranteed to users who request it."</w:t>
      </w:r>
    </w:p>
    <w:p>
      <w:r>
        <w:t>The appellant requests that no sanction be imposed in relation to the actions that constitute the sanctioned conduct regarding the formation of UTEs, given the proliferation in legal traffic of UTEs among competitors and the complexity and novelty of the decisions of the competition defense authority in relation to them. This request cannot be granted as there were resolutions from the CNC that addressed these aspects, and community directives. Thus, the CNC itself refers to the resolution of the TDC of January 20, 2003 (case NUM000) on home respiratory therapies, in which it was stated that "only when the concerted companies lacked sufficient capacity to achieve the object of the tender on their own and could not participate individually, could it be established that there is no impact on competition." and to the Guidelines on the applicability of Article 81 of the EC Treaty to horizontal cooperation agreements, which states in paragraph 143. The marketing agreements contemplated in this section only fall within the scope of application of competition rules if the parties to the agreement are competitors. If it is clear that they do not compete in the field of the products or services referred to in the agreement, it cannot create horizontal competition problems. However, the agreement may fall under paragraph 1 of Article 81 if it contains vertical restrictions, such as restrictions on passive sales, maintenance of resale prices, etc. The same applies if the cooperation in the marketing field is objectively necessary to allow one party to access a market that it could not have accessed on its own, due to, for example, the costs involved. A specific application of this principle would occur in the case of consortium agreements that allow participating companies to submit credible bids for projects that they could not carry out or in which they would not have participated individually. Given that, for this reason, they are not potential competitors in the tender in question, no restriction of competition occurs.</w:t>
      </w:r>
    </w:p>
    <w:p>
      <w:r>
        <w:t>SIXTH: Alternatively, a reduction of the fine amount is requested as the imposed sanction has not respected the principle of proportionality, since the maximum limit has not been calculated considering 10% of the revenues in the affected market for the last year in which the infringement is attributed, but arises from a (not specified) weighting of the total revenues obtained over five years, a criterion not provided for in the Law. Furthermore, it considers inappropriate the application, without any motivation, of the maximum limit of the sanctions provided in Article 10 of the LDC, when mitigating factors of the alleged responsibility of Cespa were present.</w:t>
      </w:r>
    </w:p>
    <w:p>
      <w:r>
        <w:t>The State Attorney does not make any allegations in the complaint regarding the proportionality of the sanction. We will examine each of the allegations.</w:t>
      </w:r>
    </w:p>
    <w:p>
      <w:r>
        <w:t>a) Regarding the exceeding of the maximum limit of the sanction, it is understood that at least the sanction should be reduced to the normatively predetermined 10%, which is 814,179.89 euros. The appellant argues that according to the impugned resolution itself, the billing to be considered for determining the maximum limit provided in the aforementioned provisions (Article 10 LDC 1989) is 8,141,798.96 euros, and however, the sanction imposed on Cespa has been 2 million euros, exceeding the legally provided limit. It is understood that at least the sanction should be reduced to the normatively predetermined 10%, which is 814,179.89 euros.</w:t>
      </w:r>
    </w:p>
    <w:p>
      <w:r>
        <w:t>Article 10 of the LDC 1989 establishes that "the Tribunal may impose fines of up to 150,000,000 pesetas (901,518.16 euros), an amount that may be increased up to 10 percent of the volume of sales corresponding to the economic year immediately prior to the Tribunal's resolution."</w:t>
      </w:r>
    </w:p>
    <w:p>
      <w:r>
        <w:t>In this case, it is indicated in the contested resolution that "the Council has duly taken into account the revenues obtained by the infringing companies in the healthcare waste market from 2002 to 2007" and agrees to impose a fine of 2 million euros on CESPA. The contested resolution does not specify when grading the sanction, what the volume of sales corresponding to the economic year immediately prior to the Tribunal's resolution is (the Tribunal's resolution is from 2010, so it would be the revenues from 2009). It merely indicates that "these revenues are those recorded in the file, not refuted by the defendants, and in the case of CESPA, the billing that the company has provided in its allegations." Under these circumstances, and given that the contested resolution does not indicate what those revenues are and since the figures indicated by the appellant have not been challenged by the State Attorney or by the co-defendants, it is considered that 8,141,798.96 euros is the total billing volume corresponding to the economic year immediately prior to the Tribunal's resolution, and therefore the fine cannot exceed 10% of that amount. Therefore, the maximum amount would be 814,179.89 euros.</w:t>
      </w:r>
    </w:p>
    <w:p>
      <w:r>
        <w:t>Regarding the motivation of the sanction, it is requested that the sanction be annulled due to insufficient motivation concerning the determination of the amount, as mitigating factors such as the collaboration provided by CESPA to the inspection work have not been considered. According to Article 10.2 of Law 16/1989 of July 17 on the Defense of Competition, "The amount of the sanctions shall be determined based on the significance of the infringement, for which the following shall be considered: a) The modality and scope of the restriction of competition. b) The size of the affected market. c) The market share of the corresponding company. d) The effect of the restriction of competition on effective or potential competitors, on other parties in the economic process, and on consumers and users. e) The duration of the restriction of competition. and f) The recurrence in the commission of the prohibited conducts."</w:t>
      </w:r>
    </w:p>
    <w:p>
      <w:r>
        <w:t>The legislator has therefore established not only the maximum limit of the corresponding sanction but also the qualitative factors on which to base the grading, criteria that the Administration is obliged to apply as they are specifically set by the legislator in the Competition Defense Law for grading them. As stated in the Supreme Court ruling of March 19, 2008 (cassation appeal 3063/2005) regarding Article 10.2 of Law 16/1989, "These are legally pre-established criteria, so that the requirements for prior normative determination are met to the extent that the affected companies can, or must, be aware that the greater the intensity of the restriction of competition promoted by them, the greater the amount of the pecuniary sanction will be, with the maximum limits set by Article 10 itself, in absolute or relative terms. Logically, all this requires further motivation and justification work by the Competition Defense Tribunal, which provides sufficient reasoning for the amount of the fine in each case."</w:t>
      </w:r>
    </w:p>
    <w:p>
      <w:r>
        <w:t>In this case, the contested resolution outlines the criteria that have been taken into account, and it is noted that the modality of the infringement, market sharing, is considered one of the most harmful, especially in this case that affects the cost of public health services. It explicitly refers to the duration of the agreement, indicating that it extends from at least 1997 and persists until 2007, and finally that the Council has taken into account the characteristics of the infringers, their role in the agreement, and the responsibility and capacity of each in its realization and execution. In relation to this point, it is noted that CONSENUR and CESPA are the main companies in the healthcare waste management market, both public and private, with market shares of 43% and 25% respectively, and both companies are the basis of the market-sharing agreement. In the period from 2002 to 2007, the average shares for the total billing/public clients billing period are 54/56% for CONSENUR and 34/32% for CESPA.</w:t>
      </w:r>
    </w:p>
    <w:p>
      <w:r>
        <w:t>It is not proven that the anticompetitive conducts had any effect on the market, as the contested resolution does not reason what the effect has been on consumers or users, in this case, public hospitals. Therefore, there is an incorrect motivation in determining the amount of the imposed sanction as the effects on the cost of public health services have not been proven. The DI used a comparison between the Portuguese and Spanish markets as a source of information to estimate the effects of the restrictive practices, which is not valid as the waste management model in Portugal is different, and this is acknowledged by the Council itself when it states (tenth legal basis, page 86) that.</w:t>
      </w:r>
    </w:p>
    <w:p>
      <w:r>
        <w:rPr>
          <w:b/>
        </w:rPr>
        <w:t>[Pages 10–12]</w:t>
      </w:r>
    </w:p>
    <w:p>
      <w:r>
        <w:t>the existence of an infringement of competition law.</w:t>
      </w:r>
    </w:p>
    <w:p>
      <w:r>
        <w:t>EIGHTH: In relation to the sanction for the application of the non-compete clause, the contested resolution states that on February 17, 1998, CESPA acquired the company Athisa 2-RBE, which was integrated with the company Ecoclinic (belonging to the CESPA group), resulting in the company Ecoclinic-Athisa, which was subsequently absorbed by CESPA in 2004. The sale transaction was complemented by a capital increase, after which the Isidoro-Matilde couple held 20% of the capital of the new company Ecoclinic-Athisa, in exchange for the deferred price of the sale, and the sale contract obliged the sellers not to compete with the new company for a period of five years, counted from the moment the sellers ceased to be shareholders of the new company.</w:t>
      </w:r>
    </w:p>
    <w:p>
      <w:r>
        <w:t xml:space="preserve">It should be noted that Article 1 of the LDC states: </w:t>
        <w:br/>
        <w:t>"All agreements, decisions, or collective recommendations, or concerted or consciously parallel practices that have as their object, produce, or may produce the effect of preventing, restricting, or distorting competition in all or part of the national market are prohibited..."</w:t>
      </w:r>
    </w:p>
    <w:p>
      <w:r>
        <w:t xml:space="preserve">In very similar terms, Article 81.1 of the EU Treaty establishes: </w:t>
        <w:br/>
        <w:t>"All agreements between companies, decisions by associations of companies, and concerted practices that may affect trade between Member States and that have as their object or effect the prevention, restriction, or distortion of competition within the common market shall be incompatible with the common market and prohibited."</w:t>
      </w:r>
    </w:p>
    <w:p>
      <w:r>
        <w:t>In applying this provision, the CJEU has indicated that the concepts of agreement, decision, and concerted practice are terms that, from a subjective point of view, encompass forms of collusion that share the same nature and are distinguished only by their intensity and the forms in which they manifest.</w:t>
      </w:r>
    </w:p>
    <w:p>
      <w:r>
        <w:t>The CJEU has provided certain criteria for analyzing whether an agreement, decision, or concerted practice is contrary to competition. Specifically, it has distinguished between practices with an object contrary to competition and practices with effects contrary to competition, because in the text of Article 81 EC, the object and the effects contrary to competition are not cumulative conditions, but alternative ones, to assess whether a practice is contrary to competition, as indicated by the conjunction "or" that separates them.</w:t>
      </w:r>
    </w:p>
    <w:p>
      <w:r>
        <w:t>The above requires, first and foremost, an examination of the object of the prohibited practice, with the consequence that if it turns out that the agreement we are examining has the object of preventing, restricting, or distorting competition, then the examination of its specific effects is unnecessary or superfluous.</w:t>
      </w:r>
    </w:p>
    <w:p>
      <w:r>
        <w:t>Such a distinction between infringements by object and infringements by effect is based on the fact that certain forms of collusion between companies can be considered, by their very nature, harmful to the normal functioning of competition.</w:t>
      </w:r>
    </w:p>
    <w:p>
      <w:r>
        <w:t>This is reflected in the judgments of the CJEU of November 20, 2008 (Case C-209/07), paragraphs 15 to 17, and June 4, 2009 (Case C-8/2008), paragraphs 28 to 30.</w:t>
      </w:r>
    </w:p>
    <w:p>
      <w:r>
        <w:t>The contested resolution admits that in the acquisition or sale of a business, there are agreements or certain restrictive clauses of competition that may be justified to maintain the value of what has been acquired and to ensure that the operation is successful, and that under certain conditions and for specific periods, they are considered necessary for the completion of the operation and are part of it; these are known as ancillary restrictions.</w:t>
      </w:r>
    </w:p>
    <w:p>
      <w:r>
        <w:t>The plaintiff argues that the non-compete agreement was signed on February 17, 1998, at which time the Commission's Communication on ancillary restrictions of 1990 was in force, which allowed for the consideration of these regarding non-compete clauses following a concentration for a period of five years, and regarding the moment from which the five-year period should begin, it was when the sellers lost their ability to decide, allowing the necessary margin to replace the seller's relationships with the bidding administrations, which are fundamental in the market.</w:t>
      </w:r>
    </w:p>
    <w:p>
      <w:r>
        <w:t>We therefore consider that the non-compete agreement cannot be regarded as restrictive by its object, when its purpose was to protect the value of the business transferred to CESPA, nor did it have any effect on the market, as evidenced by the fact that Mr. Isidoro and Matilde, since before May 2005 and through various companies, began to effectively compete with CESPA.</w:t>
      </w:r>
    </w:p>
    <w:p>
      <w:r>
        <w:t>The assessment of the anticompetitive effects of an agreement cannot be made in the abstract, but requires consideration of the conditions and circumstances in which the practices occur. Thus, in the cited case of the preliminary ruling posed by the Supreme Court, the CJEU indicated that to assess the anticompetitive effects of the agreements considered at that time, the specific framework in which the agreements occur must be taken into account, and in particular, the economic and legal context in which the companies operate, the nature of the goods and services involved, as well as the structure and actual operating conditions of the relevant markets (paragraph 49 of the aforementioned CJEU judgment of November 25, 2006).</w:t>
      </w:r>
    </w:p>
    <w:p>
      <w:r>
        <w:t>However, in the present case, the file does not show any examination of this nature, nor is there any data or element that allows for knowledge of the scope of the execution of the agreements and their consequences on competition, or at least, a study on the potential effects that the repeated agreements could have produced on competition in the affected market. Given these circumstances, without any accreditation or evidence, even circumstantial, regarding the restrictive effects on competition, real or potential, of the agreements we cite, it is not possible to presume.</w:t>
      </w:r>
    </w:p>
    <w:p>
      <w:r>
        <w:rPr>
          <w:b/>
        </w:rPr>
        <w:t>[Pages 13–14]</w:t>
      </w:r>
    </w:p>
    <w:p>
      <w:r>
        <w:t>that these are agreements prohibited by Article 1 LDC due to their "restrictive effects on competition."</w:t>
      </w:r>
    </w:p>
    <w:p>
      <w:r>
        <w:t>In light of this, it is appropriate to uphold the present reason and annul the imposed sanction of €600,000.</w:t>
      </w:r>
    </w:p>
    <w:p>
      <w:r>
        <w:t>EIGHTH: Finally, regarding the impropriety of imposing the measure of publishing the contested resolution in the BOE and in two general information newspapers, the appellant is correct in stating that the applicable legislation is that contained in the LDC of 2007, which in its Article 27.4 establishes that "4. The resolutions, agreements, and reports shall be made public by electronic and telematic means once notified to the interested parties, after resolving, where applicable, on the confidential aspects of their content and prior dissociation of the personal data referred to in Article 3.a of Organic Law 15/1999, of December 13, on the Protection of Personal Data, except regarding the names of the offenders."</w:t>
      </w:r>
    </w:p>
    <w:p>
      <w:r>
        <w:t>In turn, Article 69 of the same text states that "The sanctions imposed under this Law, their amount, the names of the offending parties, and the infringement committed shall be public, in the manner and conditions provided for by regulation."</w:t>
      </w:r>
    </w:p>
    <w:p>
      <w:r>
        <w:t>Royal Decree 261/08 provides in its Article 23 that "1.- In accordance with Article 27 of Law 15/2007, of July 3, the agreements, resolutions, and reports of the National Competition Commission issued in application of the Competition Defense regulations shall be published on the website of the National Competition Commission (www.cncompetencia.es), once notified to the interested parties. 2.- The publication referred to in the previous section shall be carried out after resolving, where applicable, the confidential aspects of its content and prior dissociation of the personal data referred to in Article 3.a of Organic Law 15/1999, of December 13, on the Protection of Personal Data, except regarding the names of the offenders."</w:t>
      </w:r>
    </w:p>
    <w:p>
      <w:r>
        <w:t>Therefore, since there is no provision that a sanctioning resolution of the CNC may order a publication in the BOE and in two newspapers at the expense of the sanctioned company, and considering the criterion maintained by the Supreme Court that the publicity regime of a sanctioning resolution, given that its nature is not properly that of a sanction, is governed by the norm in force at the time of issuing said resolution (STS July 21, 2009, appeal for unification of doctrine 507/08, Rapporteur Mr. Bandrés).</w:t>
      </w:r>
    </w:p>
    <w:p>
      <w:r>
        <w:t>NINTH: The above reasoning leads us to partially uphold the present appeal without any circumstances that determine a special ruling on costs, according to Article 139.1 of Law 29/1998, of July 13, regulating the Contentious-Administrative Jurisdiction.</w:t>
      </w:r>
    </w:p>
    <w:p>
      <w:r>
        <w:t>Having seen the cited precepts and other applicable regulations.</w:t>
      </w:r>
    </w:p>
    <w:p>
      <w:r>
        <w:t>RULING</w:t>
      </w:r>
    </w:p>
    <w:p>
      <w:r>
        <w:t>In view of the above, the Contentious-Administrative Chamber of the National Court has decided:</w:t>
      </w:r>
    </w:p>
    <w:p>
      <w:r>
        <w:t>That we must PARTIALLY UPHOLD the contentious-administrative appeal filed by the legal representation of CESPA SA against the resolution of the Council of the National Competition Commission (CNC) of January 18, 2010 (file NUM001) "Management of Healthcare Waste," which is partially annulled, rendering the imposed sanction regarding the non-compete agreement ineffective, reducing the amount of the sanction imposed based on Art. 1.1.c) of the LDC, for market division, to the amount of €569,925.92, and annulling section six of the contested resolution, ordering the Administration to publish at its expense the operative part of this judgment in the same media that had access to the contested resolution and compensating Cespa for the costs, upon proof of the same, that the publication order caused it, confirming the resolution regarding the rest. No costs are awarded.</w:t>
      </w:r>
    </w:p>
    <w:p>
      <w:r>
        <w:t>Thus, by this our Judgment, a copy of which will be sent along with the administrative file to the originating Office for execution, we pronounce, order, and sign.</w:t>
      </w:r>
    </w:p>
    <w:p>
      <w:r>
        <w:t>PUBLICATION.- The previous judgment was read and published in the customary manner by the Honorable Madam Rapporteur, being constituted in public hearing, of which I, the Secretary,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