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https://www.cnmc.es/expedientes/s001420</w:t>
      </w:r>
    </w:p>
    <w:p>
      <w:r>
        <w:t>Pages translated : 32</w:t>
      </w:r>
    </w:p>
    <w:p/>
    <w:p>
      <w:r>
        <w:rPr>
          <w:b/>
        </w:rPr>
        <w:t>[Pages 1–3]</w:t>
      </w:r>
    </w:p>
    <w:p>
      <w:r>
        <w:t xml:space="preserve">S/0014/20  </w:t>
        <w:br/>
        <w:t xml:space="preserve">STRATEGIC CONSUMPTION  </w:t>
        <w:br/>
        <w:t xml:space="preserve">RESOLUTION  </w:t>
        <w:br/>
        <w:t xml:space="preserve">STRATEGIC CONSUMPTION  </w:t>
        <w:br/>
        <w:t xml:space="preserve">S/0014/20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Secretary of the Council  </w:t>
        <w:br/>
        <w:t xml:space="preserve">Mr. Miguel Bordiu García-Ovies  </w:t>
        <w:br/>
        <w:t xml:space="preserve">In Madrid, on June 15, 2022  </w:t>
        <w:br/>
        <w:t xml:space="preserve">The Competition Chamber of the National Commission of Markets and Competition (CNMC) with the expressed composition, has issued the following resolution in the reference file initiated by the Competition Directorate (DC) against the ASSEMBLEA NACIONAL CATALANA (ANC), for alleged conduct prohibited by Article 3 of Law 15/2007, of July 3, on the Defense of Competition (LDC).  </w:t>
        <w:br/>
        <w:t xml:space="preserve">National Commission of Markets and Competition 1 of 32  </w:t>
        <w:br/>
        <w:t xml:space="preserve">C/ Alcalá, 47 – 28014 Madrid - C/ Bolivia, 56 – 08018 Barcelona  </w:t>
        <w:br/>
        <w:t>www.cnmc.es</w:t>
      </w:r>
    </w:p>
    <w:p>
      <w:r>
        <w:t xml:space="preserve">S/0014/20  </w:t>
        <w:br/>
        <w:t xml:space="preserve">STRATEGIC CONSUMPTION  </w:t>
        <w:br/>
        <w:t xml:space="preserve">TABLE OF CONTENTS  </w:t>
        <w:br/>
        <w:t xml:space="preserve">I. Background ............................................................................................. 3  </w:t>
        <w:br/>
        <w:t xml:space="preserve">II. The parties ................................................................................................... 5  </w:t>
        <w:br/>
        <w:t xml:space="preserve">II.1. Complainant: FOMENT DEL TREBALL NACIONAL (FTN) .......................... 5  </w:t>
        <w:br/>
        <w:t xml:space="preserve">II.2. Respondent: ASSEMBLEA NACIONAL CATALANA (ANC) ........................ 5  </w:t>
        <w:br/>
        <w:t xml:space="preserve">III. Market analysis ......................................................................................... 6  </w:t>
        <w:br/>
        <w:t xml:space="preserve">III.1. Product market ......................................................................................... 6  </w:t>
        <w:br/>
        <w:t xml:space="preserve">III.2. Geographic market .................................................................................... 6  </w:t>
        <w:br/>
        <w:t xml:space="preserve">IV. Established facts ...................................................................................... 7  </w:t>
        <w:br/>
        <w:t xml:space="preserve">IV.1. Campaign “Consum Estratègic” .................................................................. 7  </w:t>
        <w:br/>
        <w:t xml:space="preserve">IV.2. Actions of the DC to assess the impact of the campaign ...................... 11  </w:t>
        <w:br/>
        <w:t xml:space="preserve">V. LEGAL GROUNDS .................................................................................. 14  </w:t>
        <w:br/>
        <w:t xml:space="preserve">V.1. [FIRST] Competence to Resolve ............................................................... 14  </w:t>
        <w:br/>
        <w:t xml:space="preserve">V.2. [SECOND] Object of the resolution and proposal of the instructing body ....................................................................................................... 15  </w:t>
        <w:br/>
        <w:t xml:space="preserve">V.3. [THIRD] Assessment of the Competition Chamber .................................. 15  </w:t>
        <w:br/>
        <w:t xml:space="preserve">V.3.A. On the existence of an act of unfair competition ................................... 16  </w:t>
        <w:br/>
        <w:t xml:space="preserve">V.3.B. On the impact on the public interest due to distortion of free competition ............................................................................................................ 19  </w:t>
        <w:br/>
        <w:t xml:space="preserve">V.3.C. Conclusion ........................................................................................................ 23  </w:t>
        <w:br/>
        <w:t xml:space="preserve">V.4. [FOURTH] allegations of the ANC .............................................................. 23  </w:t>
        <w:br/>
        <w:t xml:space="preserve">V.4.A. On the alleged impropriety of the investigation ...................................... 23  </w:t>
        <w:br/>
        <w:t xml:space="preserve">V.4.B. On the alleged violation of freedom of expression ............................... 26  </w:t>
        <w:br/>
        <w:t xml:space="preserve">V.4.C. On the alleged prejudices of the investigation ........................................ 27  </w:t>
        <w:br/>
        <w:t xml:space="preserve">VI. RESOLVES ................................................................................................ 28  </w:t>
        <w:br/>
        <w:t xml:space="preserve">ANNEX ............................................................................................................ 29  </w:t>
        <w:br/>
        <w:t xml:space="preserve">INDEX OF TABLES CONTAINED IN THE ANNEX  </w:t>
        <w:br/>
        <w:t xml:space="preserve">Table 1. Monthly evolution of service points by electricity marketer in Catalonia (period 2015 to 2020).................................................................................................. 29  </w:t>
        <w:br/>
        <w:t xml:space="preserve">Table 2. Monthly evolution of service points by gas marketer in Catalonia (period 2015 to 2020) ................................................................................................................. 30  </w:t>
        <w:br/>
        <w:t xml:space="preserve">Table 3. Evolution of postpaid mobile line shares in Catalonia (period 2016 to 2019) ..................................................................................................................................................... 30  </w:t>
        <w:br/>
        <w:t xml:space="preserve">Table 4. Evolution of the number of commercial establishments by food retail distribution group in Catalonia (period 2016 to 2020) .......................................................... 31  </w:t>
        <w:br/>
        <w:t xml:space="preserve">National Commission of Markets and Competition 2 of 32  </w:t>
        <w:br/>
        <w:t xml:space="preserve">C/ Alcalá, 47 – 28014 Madrid - C/ Bolivia, 56 – 08018 Barcelona  </w:t>
        <w:br/>
        <w:t>www.cnmc.es</w:t>
      </w:r>
    </w:p>
    <w:p>
      <w:r>
        <w:t xml:space="preserve">S/0014/20  </w:t>
        <w:br/>
        <w:t xml:space="preserve">STRATEGIC CONSUMPTION  </w:t>
        <w:br/>
        <w:t xml:space="preserve">Table 5. Evolution of the billing volume of some of the main food retail distribution chains in Catalonia (period 2016 to 2020) ....................................... 32  </w:t>
        <w:br/>
        <w:t xml:space="preserve">I. BACKGROUND  </w:t>
        <w:br/>
        <w:t xml:space="preserve">(1) On March 13, 2020, the Catalan Competition Authority (ACCO) forwarded to the DC of the CNMC a letter from FOMENT DEL TREBALL NACIONAL (FTN)1, in which a complaint2 was filed against the ANC, for alleged conduct prohibited by Article 3 of the LDC, consisting of the campaign developed by the ANC, called “Consum Estratègic”3, with the alleged objective of boycotting certain companies until their expulsion from the market and promoting those others aligned with its objectives, without taking into account the suitability or excellence of their business performance.  </w:t>
        <w:br/>
        <w:t xml:space="preserve">This complaint was forwarded by the ACCO to the CNMC in application of Article 2.1 of Law 1/2002, of February 21, on the Coordination of the Competences of the State and the Autonomous Communities in matters of Defense of Competition (Law 1/2002), within the framework of the assignment file 177 CAT 06-36/19 CAMPAÑA CONSUMO ESTRATÉGICO in which, subsequently, the call for the Advisory Board on conflicts provided for in Article 3 of Law 1/2002 took place (JCC 6/2019 CONSUMO ESTRATÉGICO). The report of the Board, issued on February 21, 2020, concluded the competence of the CNMC to know about this case.  </w:t>
        <w:br/>
        <w:t xml:space="preserve">Likewise, the Judgment of the Constitutional Court of October 22, 2020, on the positive conflict of competence number 2890-2020 promoted by the Government of the Generalitat of Catalonia, resolved the positive conflict of competence in favor of the CNMC.  </w:t>
        <w:br/>
        <w:t xml:space="preserve">(2) On December 17, 2020, in accordance with the provisions of section 1 of Article 49 of the LDC, the DC agreed to initiate sanctioning proceedings against the ANC (registered as S/0014/20 CONSUMO ESTRATÉGICO) for alleged conduct prohibited in Article 3 of the LDC, consisting of the alleged launch and development of the “Consum Estratègic” campaign, with the aim that consumers and companies refrain from contracting the products or services offered by certain companies, for reasons unrelated to competition based on their own merits, which could distort in a significant way  </w:t>
        <w:br/>
        <w:t xml:space="preserve">1 The complaint was filed by FTN at the ACCO registry on July 19, 2019 (folio 4).  </w:t>
        <w:br/>
        <w:t xml:space="preserve">2 Folios 4 to 40.  </w:t>
        <w:br/>
        <w:t xml:space="preserve">3 Indistinctly referred to in this Resolution as “Consumo Estratégico”, “Consum Estratègic” or simply, “the campaign”.  </w:t>
        <w:br/>
        <w:t xml:space="preserve">National Commission of Markets and Competition 3 of 32  </w:t>
        <w:br/>
        <w:t xml:space="preserve">C/ Alcalá, 47 – 28014 Madrid - C/ Bolivia, 56 – 08018 Barcelona  </w:t>
        <w:br/>
        <w:t>www.cnmc.es</w:t>
      </w:r>
    </w:p>
    <w:p>
      <w:r>
        <w:rPr>
          <w:b/>
        </w:rPr>
        <w:t>[Pages 4–6]</w:t>
      </w:r>
    </w:p>
    <w:p>
      <w:r>
        <w:t xml:space="preserve">S/0014/20  </w:t>
        <w:br/>
        <w:t xml:space="preserve">STRATEGIC CONSUMPTION  </w:t>
        <w:br/>
        <w:t xml:space="preserve">significant the economic behavior of those consumers and the competitive structure of the market4.  </w:t>
        <w:br/>
        <w:t xml:space="preserve">(3) The initiation agreement determined the status of interested party in the FTN file and denied the proposal for the adoption of precautionary measures requested by FTN due to the absence of the essential prerequisite for its adoption in accordance with Article 54 of the LDC. The "Consum Estratègic" website was closed by Order of the Commercial Court No. 11 of Barcelona on December 20, 2019 (preliminary precautionary measure procedure 1537/2019), which also ordered the cessation of any activities related to the dissemination of the campaign.  </w:t>
        <w:br/>
        <w:t xml:space="preserve">(4) On October 29, 2021, the DC formulated the Statement of Facts (PCH)5 in accordance with the provisions of Articles 50.3 of the LDC and 33.3 of the Competition Defense Regulation (RDC), approved by Royal Decree 261/2008, of February 22.  </w:t>
        <w:br/>
        <w:t xml:space="preserve">This PCH was notified to FTN on November 2, 20216 and to the ANC on November 3, 20217. On November 24, 2021, a written statement of allegations from the ANC regarding the PCH8 was received by the CNMC. FTN did not submit allegations.  </w:t>
        <w:br/>
        <w:t xml:space="preserve">(5) On November 2, 2021, the PCH was notified to the ACCO, with a copy of the complete file, for the purpose of its submission of the report under Article 33.2 of the RDC9. The ACCO sent its report on November 30, 2021, which concluded by confirming the final assessment reached by the DC10.  </w:t>
        <w:br/>
        <w:t xml:space="preserve">(6) By agreement of November 30, 202111, the DC decided to close the investigation phase and, on December 15, 2021, notified the parties of its proposal to archive the sanctioning procedure12, with only the ANC presenting allegations on January 10, 2022,13.  </w:t>
        <w:br/>
        <w:t xml:space="preserve">4 Pages 373 to 375. The Initiation Agreement was notified to FTN on December 17, 2020 (page 391.1) and to ANC on January 4, 2021 (page 389.1), requiring a second notification attempt in this case (pages 386 to 389). Likewise, the ACCO was communicated under Article 5.2 of Law 1/2002 (pages 375.2 to 375.3).  </w:t>
        <w:br/>
        <w:t xml:space="preserve">5 Pages 1317 to 1375.  </w:t>
        <w:br/>
        <w:t xml:space="preserve">6 Pages 1376 to 1436, 1439 to 1440, and 1440.1.  </w:t>
        <w:br/>
        <w:t xml:space="preserve">7 Pages 1376 to 1438 and 1438.1.  </w:t>
        <w:br/>
        <w:t xml:space="preserve">8 Pages 1450 to 1481.  </w:t>
        <w:br/>
        <w:t xml:space="preserve">9 Pages 1441 to 1443.  </w:t>
        <w:br/>
        <w:t xml:space="preserve">10 Page 1491.  </w:t>
        <w:br/>
        <w:t xml:space="preserve">11 Pages 1492 to 1498.  </w:t>
        <w:br/>
        <w:t xml:space="preserve">12 Pages 1499 to 1500 and 1573 to 1644.  </w:t>
        <w:br/>
        <w:t xml:space="preserve">13 Pages 1659 to 1702.  </w:t>
        <w:br/>
        <w:t xml:space="preserve">National Commission of Markets and Competition 4 of 32  </w:t>
        <w:br/>
        <w:t xml:space="preserve">C/ Alcalá, 47 – 28014 Madrid - C/ Bolivia, 56 – 08018 Barcelona  </w:t>
        <w:br/>
        <w:t>www.cnmc.es</w:t>
      </w:r>
    </w:p>
    <w:p>
      <w:r>
        <w:t xml:space="preserve">S/0014/20  </w:t>
        <w:br/>
        <w:t xml:space="preserve">STRATEGIC CONSUMPTION  </w:t>
        <w:br/>
        <w:t xml:space="preserve">(7) The Competition Chamber of the CNMC Council deliberated and ruled on the matter in its meeting on June 15, 2022.  </w:t>
        <w:br/>
        <w:t xml:space="preserve">II. THE PARTIES  </w:t>
        <w:br/>
        <w:t xml:space="preserve">II.1. Complainant: FOMENT DEL TREBALL NACIONAL (FTN)  </w:t>
        <w:br/>
        <w:t xml:space="preserve">(8) FTN is the confederation of territorial and sectoral business organizations and companies of Catalonia. It is registered in the Labor Relations Section of the Department of Business and Employment of the Generalitat of Catalonia 14.  </w:t>
        <w:br/>
        <w:t xml:space="preserve">(9) Its objectives, according to Article 5 of its Statutes, are the promotion and business development and the representation of companies and productive sectors before public institutions and economic, political, social, and union organizations, as well as collaboration with other business organizations for the achievement of common objectives in favor of companies15.  </w:t>
        <w:br/>
        <w:t xml:space="preserve">II.2. Respondent: ASSEMBLEA NACIONAL CATALANA (ANC)  </w:t>
        <w:br/>
        <w:t xml:space="preserve">(10) The ANC is a non-profit association constituted and governed in accordance with the provisions of Book III of the Civil Code of Catalonia and registered in the Registry of Associations of the Department of Justice of the Generalitat of Catalonia 16.  </w:t>
        <w:br/>
        <w:t xml:space="preserve">(11) In accordance with Article 2 of its Statutes17, the ANC pursues the aims of promoting the creation of the necessary political and social conditions for the achievement and constitution of its own, independent, social and democratic Catalan state; bringing together all individuals who work with objectives aligned with those of the ANC, whether from all types of groups, entities, movements, political parties, or individually; and facilitating, enhancing, and hosting all types of democratic initiatives aimed at achieving its objectives.  </w:t>
        <w:br/>
        <w:t xml:space="preserve">14 Page 4.  </w:t>
        <w:br/>
        <w:t xml:space="preserve">15 Pages 19 to 20.  </w:t>
        <w:br/>
        <w:t xml:space="preserve">16 As stated in the notarized powers of representation granted in favor of the President of the ANC (pages 395 to 396).  </w:t>
        <w:br/>
        <w:t xml:space="preserve">17 Available on the ANC website and incorporated into the framework of the reference file (pages 422 to 448): https://assemblea.cat/documentos/  </w:t>
        <w:br/>
        <w:t xml:space="preserve">National Commission of Markets and Competition 5 of 32  </w:t>
        <w:br/>
        <w:t xml:space="preserve">C/ Alcalá, 47 – 28014 Madrid - C/ Bolivia, 56 – 08018 Barcelona  </w:t>
        <w:br/>
        <w:t>www.cnmc.es</w:t>
      </w:r>
    </w:p>
    <w:p>
      <w:r>
        <w:t xml:space="preserve">S/0014/20  </w:t>
        <w:br/>
        <w:t xml:space="preserve">STRATEGIC CONSUMPTION  </w:t>
        <w:br/>
        <w:t xml:space="preserve">(12) The ANC is structured into 596 territorial assemblies18, at the local level19, as well as 64 sectoral assemblies20 organized by professional, social, or cultural fields, including lawyers, teachers, translators, architects, artists, economists, entrepreneurs, engineers, psychologists, etc.; they are, in turn, groups for reflection and organization for professionals in various sectors supporting the activities and initiatives of the ANC21.  </w:t>
        <w:br/>
        <w:t xml:space="preserve">(13) On December 11, 201922, the ANC presented to the media the launch of a business association, aligned with its objectives, under the name "Anem per Feina"23.  </w:t>
        <w:br/>
        <w:t xml:space="preserve">III. MARKET ANALYSIS  </w:t>
        <w:br/>
        <w:t xml:space="preserve">III.1. Product Market  </w:t>
        <w:br/>
        <w:t xml:space="preserve">(14) This Chamber considers that the market affected by the behaviors is that of the supply of goods and services in general, also encompassing sectors as disparate as banking, food retail distribution, or fuel retail distribution for automotive, without prejudice to the preponderance of some strategic markets (energy, telecommunications, etc.).  </w:t>
        <w:br/>
        <w:t xml:space="preserve">(15) Without prejudice to the fact that a strict delimitation of the product market is not necessary for the purposes of this file, this definition of the affected market is a consequence of the broad and generic scope over the different economic activities of the campaign developed by the ANC and analyzed in this file, which encompasses all productive sectors of the economy.  </w:t>
        <w:br/>
        <w:t xml:space="preserve">III.2. Geographic Market  </w:t>
        <w:br/>
        <w:t xml:space="preserve">(16) This Chamber considers that, both from the supply and demand perspective, the defined market is national in scope, a matter that was clarified by the aforementioned Judgment of the Constitutional Court of October 22, 2020.  </w:t>
        <w:br/>
        <w:t xml:space="preserve">18 Territorial assemblies are provided for in Article 9.3 of the ANC Statutes (page 430).  </w:t>
        <w:br/>
        <w:t xml:space="preserve">19 Likewise, the ANC has External Assemblies. Its website indicates that there are 40 External Assemblies worldwide, grouping more than 10,000 Catalans: https://assemblea.cat/organitzacio/assemblees-exteriors/  </w:t>
        <w:br/>
        <w:t xml:space="preserve">20 Article 9.4 of the ANC Statutes (page 430) establishes that: "Sectoral Assemblies, dedicated to the activities and promotion of the Association's objectives, organized by professional, social, or cultural fields, are the other basic unit."  </w:t>
        <w:br/>
        <w:t xml:space="preserve">21 Page 543 and pages 1111 to 1113.  </w:t>
        <w:br/>
        <w:t xml:space="preserve">22 Pages 1114 to 1116.  </w:t>
        <w:br/>
        <w:t xml:space="preserve">23 https://www.anemxfeina.cat/  </w:t>
        <w:br/>
        <w:t xml:space="preserve">National Commission of Markets and Competition 6 of 32  </w:t>
        <w:br/>
        <w:t xml:space="preserve">C/ Alcalá, 47 – 28014 Madrid - C/ Bolivia, 56 – 08018 Barcelona  </w:t>
        <w:br/>
        <w:t>www.cnmc.es</w:t>
      </w:r>
    </w:p>
    <w:p>
      <w:r>
        <w:rPr>
          <w:b/>
        </w:rPr>
        <w:t>[Pages 7–9]</w:t>
      </w:r>
    </w:p>
    <w:p>
      <w:r>
        <w:t xml:space="preserve">S/0014/20  </w:t>
        <w:br/>
        <w:t xml:space="preserve">STRATEGIC CONSUMPTION  </w:t>
        <w:br/>
        <w:t xml:space="preserve">(17) From the supply perspective, the conduct under investigation is likely to affect operators present throughout the national territory and not only those providing their services in Catalonia. As concluded by the Constitutional Court in the aforementioned ruling, “due to the objectives it pursues, its potential subjective scope, and the services it refers to, we must conclude that if the conduct attributed to the 'Consumo estratégico' campaign were contrary to the LDC − which, as we have stated in the second legal basis, is outside the scope of this process − such effects could not fail to transcend the geographical scope of the Autonomous Community of Catalonia.”  </w:t>
        <w:br/>
        <w:t xml:space="preserve">(18) From the demand perspective, nothing would prevent consumers residing in other Autonomous Communities, who share the objectives of the ANC, from accessing the website and contacting the companies registered therein in order to proceed with a change of supplier.  </w:t>
        <w:br/>
        <w:t xml:space="preserve">IV. ESTABLISHED FACTS  </w:t>
        <w:br/>
        <w:t xml:space="preserve">IV.1. Campaign “Consum Estratègic”  </w:t>
        <w:br/>
        <w:t xml:space="preserve">(19) On November 8, 2018, the ANC presented the “Consum Estratègic” Campaign to the media24. The campaign was structured through the launch of the website/portal under the same name (www.consumestrategic.cat)25, the holding of fairs and dissemination talks, and various tools for greater visibility and dissemination.  </w:t>
        <w:br/>
        <w:t xml:space="preserve">(20) According to what was announced on the Consumo Estratégico website26, the campaign aimed to channel the behavior of consumers and companies to abstain from contracting products or services offered by certain companies, especially those known as IBEX35 companies, in favor of certain companies headquartered in Catalonia for reasons unrelated to competition based on their own merits.  </w:t>
        <w:br/>
        <w:t xml:space="preserve">(21) It was structured through the implementation of a strategy divided into two phases27.  </w:t>
        <w:br/>
        <w:t xml:space="preserve">A first phase28, starting in November 2018, aimed at raising awareness among the population sympathetic to the objectives of the ANC29 and calling for registrations on the “Consumo Estratégico” website, both from companies (strategic suppliers)30 and potential consumers (individuals and companies) willing to change their supplying company31.  </w:t>
        <w:br/>
        <w:t xml:space="preserve">A second phase of the campaign began at the end of June 201932, with the availability on the aforementioned website of a search engine or directory of companies “that meet the requirements to offer their products and services, so that strategic consumers can contact them directly”33.  </w:t>
        <w:br/>
        <w:t xml:space="preserve">(21) The ANC relied on the territorial network established through the Territorial Assemblies for the organization of the various actions through which the implementation of the campaign34 and the achievement of its objectives − particularly the search and registration on the website of service providers and consumers − were facilitated, due to its extension35 and its knowledge of the territory36.  </w:t>
        <w:br/>
        <w:t xml:space="preserve">(22) Registration in the database of “strategic” suppliers or companies was carried out through the website, following the procedure37:  </w:t>
        <w:br/>
        <w:t xml:space="preserve">- The interested company had to complete the online registration form, in which it had to provide its name, tax identification number (NIF), and contact person's details.  </w:t>
        <w:br/>
        <w:t xml:space="preserve">- The ANC would contact the company to verify the accuracy of the provided data, as well as its willingness to be listed on the website.  </w:t>
        <w:br/>
        <w:t xml:space="preserve">- For the above purposes, the company was asked to express its consent to include its data on the website, acknowledging its content and the implications of its inclusion in the register of product and service providers, taking responsibility for this decision.  </w:t>
        <w:br/>
        <w:t xml:space="preserve">28 Campaign website “Consum Estratègic” (folios 177 to 178), in the dossier (folio 207), as well as in the press statements provided by the ANC during its implementation, as will be referred to later.  </w:t>
        <w:br/>
        <w:t xml:space="preserve">29 Raising awareness of the fact that “in their daily lives, by changing their consumption habits, they can help to create the Catalan Republic” (folio 207).  </w:t>
        <w:br/>
        <w:t xml:space="preserve">30 Folio 177 and 207.  </w:t>
        <w:br/>
        <w:t xml:space="preserve">31 Folio 177.  </w:t>
        <w:br/>
        <w:t xml:space="preserve">32 Announced at a press conference on June 20, 2019 (folios 1117 to 1119).  </w:t>
        <w:br/>
        <w:t xml:space="preserve">33 Folios 178, 207, and 1117 to 1119.  </w:t>
        <w:br/>
        <w:t xml:space="preserve">34 Folios 208 to 209.  </w:t>
        <w:br/>
        <w:t xml:space="preserve">35 As emphasized in the aforementioned campaign dossier, “we have more than 500 territorials who have the capacity to inform consumers about the importance of each of us working to make the Catalan Republic effective” (folio 208).  </w:t>
        <w:br/>
        <w:t xml:space="preserve">36 Folio 208.  </w:t>
        <w:br/>
        <w:t xml:space="preserve">37 Folios 289 and 290.  </w:t>
        <w:br/>
        <w:t xml:space="preserve">(23) During the campaign, according to records from the ANC, a total of 72 fairs38 were organized throughout the autonomous community, between November 8, 2018 (the first fair held in Sitges)39 and December 19, 2019 (the last fair, in the Sant Antoni neighborhood of Barcelona). The ANC provided logistics for their organization to those Territorial Assemblies that requested it40. Consumer fairs are considered by the ANC as the most effective tool to facilitate the change of companies in strategic sectors at a general level, as well as in key sectors at a local level.  </w:t>
        <w:br/>
        <w:t xml:space="preserve">At these fairs, participating companies had a space from which to contact consumers, offering their products or services, and the ANC provided informational brochures for distribution to attendees. Additionally, within the framework of these fairs, a talk about the campaign41 was organized. Some of these fairs (as well as some of the talks organized individually)42 were promoted by various local or neighborhood associative entities43.  </w:t>
        <w:br/>
        <w:t xml:space="preserve">(24) During the campaign, according to data provided by the ANC, a total of 111 informational talks were held, of which 72 took place within the framework of one of the organized consumer fairs, while 39 talks were organized independently.  </w:t>
        <w:br/>
        <w:t xml:space="preserve">38 Some of which lasted more than one day (folio 290). Folios 297 to 298.  </w:t>
        <w:br/>
        <w:t xml:space="preserve">39 Before the ANC presented the “Consum Estratègic” campaign on November 8, 2018, a consumer fair took place in Manresa on October 20, 2018, also defined by the aforementioned association as a “republican fair” (folio 159) or an event promoting local consumption, driven by local entities, which was not part of the campaign's dissemination activities (folios 570 to 571).  </w:t>
        <w:br/>
        <w:t xml:space="preserve">According to the information provided by the ANC in the context of this process (folios 570 to 571), as well as in the campaign dossier (folio 209), and the press release issued by the ANC on the occasion of the presentation of the aforementioned campaign (folio 159).  </w:t>
        <w:br/>
        <w:t xml:space="preserve">40 Folio 290.  </w:t>
        <w:br/>
        <w:t xml:space="preserve">41 Folio 290.  </w:t>
        <w:br/>
        <w:t xml:space="preserve">42 Folio 572.  </w:t>
        <w:br/>
        <w:t>43 Folio 571.</w:t>
      </w:r>
    </w:p>
    <w:p>
      <w:r>
        <w:rPr>
          <w:b/>
        </w:rPr>
        <w:t>[Pages 10–12]</w:t>
      </w:r>
    </w:p>
    <w:p>
      <w:r>
        <w:t xml:space="preserve">S/0014/20  </w:t>
        <w:br/>
        <w:t xml:space="preserve">STRATEGIC CONSUMPTION  </w:t>
        <w:br/>
        <w:t xml:space="preserve">isolated manner44. Its organization was entrusted to the Territorial Assemblies with the help of the ANC when necessary45.  </w:t>
        <w:br/>
        <w:t xml:space="preserve">(24) The ANC carried out other visibility actions:  </w:t>
        <w:br/>
        <w:t xml:space="preserve">- Preparation of an informational brochure for the campaign, intended to be included in the stands of the Territorial Assemblies46.  </w:t>
        <w:br/>
        <w:t xml:space="preserve">- Timely dissemination through the ANC's social networks of the start of the campaign − which was also communicated via email to the associates − information about it during the time it was in effect and about some organized events47.  </w:t>
        <w:br/>
        <w:t xml:space="preserve">- Holding two press conferences corresponding to the presentation of the campaign, on November 9, 2018, and the presentation of the second phase of the campaign, with the company search engine from the website and the results achieved to date, on June 20, 201948.  </w:t>
        <w:br/>
        <w:t xml:space="preserve">- The celebration of events organized on the occasion of (i) the Ordinary General Assembly of the ANC on May 5, 2019, where several companies were present with informational stands, and (ii) the Diada of September 11, 2019, in which the campaign was promoted49.  </w:t>
        <w:br/>
        <w:t xml:space="preserve">- As previously explained, preparation of the motion project “For a national strategic consumption,” in September 2019, intended to be presented at the plenary sessions of the municipalities in the Osona region. As indicated in the PCH, there is no record that any measures related to the mentioned motion were ultimately implemented50.  </w:t>
        <w:br/>
        <w:t xml:space="preserve">(25) On January 15, 2020, the effective closure of the “Consum Estratègic” website occurred, by court order51.  </w:t>
        <w:br/>
        <w:t xml:space="preserve">(26) At the press conference held on June 20, 2019, for the presentation of the second phase of the campaign, the President of the ANC stated that, from the start of the campaign in November 2018 until that date, a total of 148,000 changes of service contracts for telephone, electricity, gas, insurance, and banking had occurred, benefiting 11 companies53.  </w:t>
        <w:br/>
        <w:t xml:space="preserve">This figure does not correspond to an objectively calculated, rigorous, and verified estimate of the volume of customers attracted by the campaign. According to the ANC itself, the figure provided corresponds to a “symbolic” estimate54 made by the association, since it did not act as an intermediary between the potential contracts made between these consumers and strategic providers nor did it have information regarding possible cancellations of services with “non-strategic” companies55.  </w:t>
        <w:br/>
        <w:t xml:space="preserve">The estimate provided by the ANC56 was made considering public data related to the volumes of contracting new customers in the last fiscal year of some service companies selected by the association, although some did not participate in the campaign57.  </w:t>
        <w:br/>
        <w:t xml:space="preserve">The ANC only added the total number of new customers recorded by the indicated companies. The data considered by the ANC included the figures published by companies and entities providing services throughout the national territory, without breaking down the portion corresponding to consumers located in the territory of Catalonia58.  </w:t>
        <w:br/>
        <w:t xml:space="preserve">(27) FTN has not provided estimates on the number of supplier changes attributable to the launch of the campaign nor on other potential damages, direct or indirect, suffered by some of its associates as a consequence of the campaign59.  </w:t>
        <w:br/>
        <w:t xml:space="preserve">IV.2. Actions of the DC to evaluate the impact of the campaign  </w:t>
        <w:br/>
        <w:t xml:space="preserve">(28) To assess the degree of impact of the campaign, the DC has gathered information from national operators active in the most representative sectors within the market for the supply of goods and services in general in Catalonia − some of which moved their headquarters outside the Autonomous Community − and which can be identified as targets of the campaign under investigation.  </w:t>
        <w:br/>
        <w:t xml:space="preserve">(29) In particular, information has been requested regarding the services of electricity and gas supply (free market)60, mobile phone and internet61, banking and financial62, insurance companies63, and food retail distribution companies64. Information has been requested about the potential impact of the campaign on their commercial activity, brand, and reputation.  </w:t>
        <w:br/>
        <w:t xml:space="preserve">(30) In the field of energy supply, the consulted companies agree in dismissing the existence of appreciable damages with the exception of one of them which, however, does not provide evidence to substantiate possible negative effects65. In particular, the different consulted companies indicate that they have not observed any trend different from what is expected66 or customer loss that could be related to the campaign67; that they have not conducted any study to determine whether the mentioned campaign had any impact on the brand68 or reputation of the company69; that demand in Catalonia behaved normally during the analyzed period70, remaining at average values in relation to the rest of the Autonomous Communities71; that the effect on their customer portfolio has not been “appreciable”72 and that the reputational damage has been minimal or nonexistent73.  </w:t>
        <w:br/>
        <w:t xml:space="preserve">(31) Regarding mobile phone and internet services, the consulted companies agree in dismissing the existence of appreciable damages. They indicate, among other issues, that they have not noticed a significant impact of the campaign on their activity in Catalonia74, although they acknowledge that they cannot isolate all the data at the regional level; they have not perceived any  </w:t>
        <w:br/>
        <w:t xml:space="preserve">60 [confidential] (folios 906 to 913), [confidential] (folios 1152 to 1165), [confidential] (folios 972 to 977) and [confidential] (folios 944 to 949).  </w:t>
        <w:br/>
        <w:t xml:space="preserve">61 [confidential] (folios 1073 to 1078), (folios 962 to 971) and [confidential] (folios 950 to 955).  </w:t>
        <w:br/>
        <w:t xml:space="preserve">62 [confidential] (folios 956 to 961) and [confidential] (folios 928 to 932).  </w:t>
        <w:br/>
        <w:t xml:space="preserve">63 [confidential] (folios 713 to 718) and [confidential] (folios 784 to 789).  </w:t>
        <w:br/>
        <w:t xml:space="preserve">64 [confidential] (folios 699 to 703) and [confidential] (folios 933 to 937).  </w:t>
        <w:br/>
        <w:t xml:space="preserve">65 Folio 976.  </w:t>
        <w:br/>
        <w:t xml:space="preserve">66 Folio 948.  </w:t>
        <w:br/>
        <w:t xml:space="preserve">67 Folios 1158 to 1159.  </w:t>
        <w:br/>
        <w:t xml:space="preserve">68 Folio 1158.  </w:t>
        <w:br/>
        <w:t xml:space="preserve">69 Folio 948.  </w:t>
        <w:br/>
        <w:t xml:space="preserve">70 In this case, the analyzed period begins at the end of 2018, the date on which [confidential] begins to operate in the electricity and gas marketing markets. In line with what was previously stated, [confidential] explains that its entry into the electricity market occurred at the end of 2018, (folio 909).  </w:t>
        <w:br/>
        <w:t xml:space="preserve">71 Folios 910 to 911.  </w:t>
        <w:br/>
        <w:t xml:space="preserve">72 Folio 911.  </w:t>
        <w:br/>
        <w:t xml:space="preserve">73 Folio 911.  </w:t>
        <w:br/>
        <w:t>74 Folio 954 and 966.</w:t>
      </w:r>
    </w:p>
    <w:p>
      <w:r>
        <w:rPr>
          <w:b/>
        </w:rPr>
        <w:t>[Pages 13–15]</w:t>
      </w:r>
    </w:p>
    <w:p>
      <w:r>
        <w:t xml:space="preserve">S/0014/20  </w:t>
        <w:br/>
        <w:t xml:space="preserve">STRATEGIC CONSUMPTION  </w:t>
        <w:br/>
        <w:t xml:space="preserve">the impact of the campaign on the value of their brand or reputation75; they express concern about the increase in outages in Catalonia during the analyzed period, which they attribute to damage in the urban network76; that the trend in mobile and internet line cancellations in Catalonia during the period 2016-2020 is decreasing, in line with the behavior recorded in the rest of the country, so there are no reasons to determine that the campaign has affected the number of cancellations of the company77.  </w:t>
        <w:br/>
        <w:t xml:space="preserve">(32) In banking services, the consulted entities, with a strong presence in Catalonia and which decided to move their headquarters outside the territory of this Autonomous Community in October 2017, agree in stating that their commercial results and reputational value were not affected by the campaign. The entities indicate that they have not observed any abnormal demand behavior nor any negative impact on the value of their brand or reputation among Catalan consumers78; that there has not been an unusual termination of contracts. The balance of new contracts and cancellations during the analyzed period is favorable, with figures in Catalonia similar to those of the whole of Spain79; that none of these relocations have been directed to any financial entity linked to companies aligned with the campaign80; that the possible impact of the campaign has not been significant81.  </w:t>
        <w:br/>
        <w:t xml:space="preserve">(33) Regarding the insurance sector, the consulted companies have not detected significant effects resulting from the campaign. They have stated that they have no knowledge that the aforementioned campaign has had any type of impact on the results of commercial activity in Catalonia82 nor has any negative reputational impact been detected83; the impact of the launch of the campaign is defined as null and even an increase in customer retention rate84; nor is there any evidence that the campaign is the cause of the termination of any contracts.  </w:t>
        <w:br/>
        <w:t xml:space="preserve">(34) In relation to the retail food distribution sector, one of the main national distribution groups and another with a traditional presence in Catalonia, but with an expansion strategy in the central peninsular area, have been consulted. In particular, they declare that there is no record that the campaign had any type of effect on their business, nor do they have objective data revealing any impact on sales85; they have not noticed any type of rejection or effect of the campaign on the sales, image, or reputation of this company or its brands, beyond some isolated incidents in some stores where some individuals placed posters and stickers calling for a boycott86; there has not been a significant or pronounced decrease in retail sales to customers beyond what is derived from the usual competitive dynamics of the market and/or in relation to the consumption habits recorded, nor has there been any significant customer loss towards companies publicly aligned with the political ideology of the campaign87.  </w:t>
        <w:br/>
        <w:t xml:space="preserve">V. LEGAL GROUNDS  </w:t>
        <w:br/>
        <w:t xml:space="preserve">V.1. [FIRST] Competence to Resolve  </w:t>
        <w:br/>
        <w:t xml:space="preserve">(35) According to Article 5.1.c) of the Law establishing the CNMC, this body is competent to “apply the provisions of Law 15/2007, of July 3, regarding conduct that prevents, restricts, and distorts competition”88.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3”89.  </w:t>
        <w:br/>
        <w:t xml:space="preserve">V.2. [SECOND] Object of the resolution and proposal of the instructing body  </w:t>
        <w:br/>
        <w:t xml:space="preserve">(36) The Competition Chamber must resolve based on the instruction carried out by the DC, which is included in the report and proposal for resolution, whether the requirements to agree to the filing of the proceedings in accordance with the provisions of Article 53.2 e) of the LDC are met.  </w:t>
        <w:br/>
        <w:t xml:space="preserve">(37) On January 11, 2022, the DC submitted a proposal report to the Council of the CNMC. In this document, it was proposed to file the proceedings due to lack of evidence of the prohibited conduct, all with the following literal wording:  </w:t>
        <w:br/>
        <w:t xml:space="preserve">“In view of the actions taken, in accordance with Article 50.4 of the LDC, it is PROPOSED:  </w:t>
        <w:br/>
        <w:t xml:space="preserve">First. That it be declared that the existence of a prohibited practice, consisting of the infringement of Article 3 of the LDC by the entity involved in this file, the ASAMBLEA NACIONAL CATALANA (ANC), through the launch and development of the campaign “Consumo Estratégico”, executed between November 2018 and January 2020, has not been substantiated, due to the insufficient nature of the unfair competition conduct to distort free competition in the market for the supply of goods and services in general, and the consequent absence of impact on the public interest protected by the LDC.  </w:t>
        <w:br/>
        <w:t xml:space="preserve">Second. That the proceedings against the ANC for a possible infringement of Article 3 of the LDC be filed, as the commission of such infringement has not been substantiated.  </w:t>
        <w:br/>
        <w:t xml:space="preserve">All this, without prejudice to the fact that the aforementioned conduct may eventually be classified as contrary to the LCD within the framework of the corresponding jurisdictional procedure, which is currently “sub judice”.  </w:t>
        <w:br/>
        <w:t xml:space="preserve">V.3. [THIRD] Assessment of the Competition Chamber  </w:t>
        <w:br/>
        <w:t xml:space="preserve">(38) In relation to the analysis and application of Article 3 of the LDC, the jurisprudence90 and national precedents91 in the matter have delineated the necessary requirements to consider the existence of a conduct that distorts competition.  </w:t>
        <w:br/>
        <w:t xml:space="preserve">90 For example, Judgment of the Supreme Court 349/2017, of February 3, 2017 IBERDROLA SUR and Judgment of the Supreme Court 1436/2018, of October 1, 2018 ZARDOYA OTIS, S.A.  </w:t>
        <w:br/>
        <w:t>91 Among others, Resolution of the now-defunct Council of the National Competition Commission (CNC) of February 24, 2012, in the framework of file S/0213/10 IBERDROLA SUR, Resolution of the now-defunct Council of the CNC, of September 17, 2013, in the framework of file S/0410/12 ASCENSORES 2, Resolution of the Council of the CNMC of July 30, 2015, in the framework of file S/DC/0524/14 LIDL and the Resolution of the Council of the CNMC of April 21, 2020, in the framework of file S/0029/19 CLIDOM ENERGY.</w:t>
      </w:r>
    </w:p>
    <w:p>
      <w:r>
        <w:rPr>
          <w:b/>
        </w:rPr>
        <w:t>[Pages 16–18]</w:t>
      </w:r>
    </w:p>
    <w:p>
      <w:r>
        <w:t xml:space="preserve">S/0014/20  </w:t>
        <w:br/>
        <w:t xml:space="preserve">STRATEGIC CONSUMPTION  </w:t>
        <w:br/>
        <w:t xml:space="preserve">for unfair acts. In particular, the following requirements are cumulative and independent of each other92: (i) existence of an unfair act as defined in the LCD, (ii) distortion of free competition due to that act of unfair competition, and (iii) impact on the public interest due to that distortion of competition.  </w:t>
        <w:br/>
        <w:t xml:space="preserve">(39) In accordance with the latest national precedents regarding the application of Article 3 of the LDC93, the analysis of the last two requirements can be carried out cumulatively, which does not mean the omission of any essential element.  </w:t>
        <w:br/>
        <w:t xml:space="preserve">V.3.A. On the existence of an act of unfair competition  </w:t>
        <w:br/>
        <w:t xml:space="preserve">(40) The first element of the structure of the offense under Article 3 of the LDC is that the analyzed conduct constitutes an act of unfair competition in accordance with the general legislation on this matter. In this sense, Article 2 of the LCD determines that acts of unfair competition may be classified as those carried out in the market and for competitive purposes. The competitive purpose requires compliance with the requirements of Article 2 of the LCD:  </w:t>
        <w:br/>
        <w:t xml:space="preserve">“2. The competitive purpose of the act is presumed when, due to the circumstances in which it is carried out, it is objectively suitable to promote or ensure the dissemination in the market of its own services or those of a third party.  </w:t>
        <w:br/>
        <w:t xml:space="preserve">3. The law shall apply to any acts of unfair competition, carried out before, during, or after a commercial operation or contract, regardless of whether it is concluded or not.”  </w:t>
        <w:br/>
        <w:t xml:space="preserve">(41) In view of the established facts, the actions carried out by the ANC, especially the launch of the “Consum Estratègic” website, with the aim of promoting that consumers and companies contract with certain companies and refrain from contracting with others, would meet the two previously mentioned requirements.  </w:t>
        <w:br/>
        <w:t xml:space="preserve">(42) The ANC claims that it merely makes “purchase recommendations” based on criteria such as proximity, the environment, or animal welfare. In this regard, it is necessary to recall that the campaign did not have a neutral purpose, as stated in the dossier of its campaign94. That is to say, the loss of customers by non-aligned companies was not a mere collateral effect of promoting other entities according to the dynamics of free competition, but rather a primary, conscious, and deliberate objective of the campaign.  </w:t>
        <w:br/>
        <w:t xml:space="preserve">(43) The conduct analyzed in the context of this file could be classified as a boycott, that is, the action directed against a person or entity to hinder the development or functioning of a certain social or commercial activity95, also defined as the call or instigation to third parties to refrain from contracting certain products or services or the products or services offered by a certain operator96.  </w:t>
        <w:br/>
        <w:t xml:space="preserve">(44) The boycott is a conduct objectively contrary to the requirements of good faith, as it violates the principle of efficient competition and introduces mechanisms improper to the dynamics of free competition in the markets, generating dysfunctions in their proper functioning. Generally, the promoter of the boycott seeks to achieve an improvement in the position of a group of economic operators by inducing other parties to cancel commercial relationships with their competitors, rather than enhancing the offerings of the beneficiaries of the boycott, as would be appropriate in accordance with the aforementioned principle of efficient competition based on merits. In this case, moreover, the boycott was not motivated by harmful behavior on the part of the affected companies, or by harm to consumers, but by a disagreement with the objectives pursued by the ANC − or even a lack of explicit positioning − which made those companies the central target of the campaign.  </w:t>
        <w:br/>
        <w:t xml:space="preserve">The conduct of the ANC was not limited to promoting companies with values it considers desirable (cooperativism, respect for the environment, promotion of the Catalan language, etc.), but integrated the design of a campaign aimed at harming companies not aligned with its objectives. The fact that the campaign does not target a specific company does not mean that there is no intent to harm a determinable plurality of companies linked by a series of characteristics, such as not being aligned with the objectives of the ANC − or not having positioned themselves in its favor −, being part of the IBEX35, or having moved their registered office outside Catalonia after the events of October 2017, as reflected in the information on its website97.  </w:t>
        <w:br/>
        <w:t xml:space="preserve">95 According to the definition by the Royal Spanish Academy, included in the Resolution of the CNMC Council of May 12, 2016, in the context of file S/0455/12 MANAGEMENT GROUPS.  </w:t>
        <w:br/>
        <w:t xml:space="preserve">96 Definition adopted by Order No. 243/2019, of December 20, 2019, of the Commercial Court No. 11 of Barcelona, in the context of procedure 1537/19-4 of the precautionary measures.  </w:t>
        <w:br/>
        <w:t xml:space="preserve">97 “The companies that have made these relocations have collaborated, directly or indirectly, consciously or unconsciously, to spread this threat. We believe that habits must change in order to opt for those that have not engaged in politics against the right to decide of the Catalan society, and especially for those that present business values closer to the model of country that the Assembly envisions for a Catalan Republic.”  </w:t>
        <w:br/>
        <w:t xml:space="preserve">(45) For the purposes of applying Article 3 of the LDC, it must be considered, however, that although the boycott action promoted through the campaign may ultimately be classified as an act of unfair competition under Article 4 of the LCD, for it to also constitute a violation of competition law, it must be an act that distorts free competition by affecting the public interest protected by this latter law, as previously noted.  </w:t>
        <w:br/>
        <w:t xml:space="preserve">Therefore, the Spanish Competition Authority has indicated in various national precedents that it must first analyze whether there are indications of distortion of competition98 in the reported conduct and described facts. If there are none, regardless of whether there is a violation of one or more articles of the LCD, the existence of prohibited practices cannot be established.  </w:t>
        <w:br/>
        <w:t xml:space="preserve">In this same sense, the Resolution of the now-defunct Council of the National Competition Commission (CNC) of December 15, 2011, in the context of file S/0350/11 ROAD ASSISTANCE stated that:  </w:t>
        <w:br/>
        <w:t xml:space="preserve">“The application of the Unfair Competition Law corresponds to the Courts of Justice, and the Competition Authority is only empowered to make a reproach of unfair competition when the judged conduct, given the legal and economic context in which it occurs, is apt to restrict effective competition in the market, which is the public interest protected by the LDC. Consequently, in the event of a complaint of infringement of Article 3 of the LDC, the instructing body must analyze, first of all, the concurrence of the requirement of impact on the public interest, taking into account factors such as the nature of the conduct, the structure of the market, the good or service affected, etc.; that is, the affected legal and economic context, so that if after this analysis there are no indications that the conduct is apt to distort effective competition, it is not only superfluous to carry out a legal qualification of the conduct from the perspective of Unfair Competition Law, but such qualification lacks any legal relevance to the extent that the requirement enabling the Competition Authority to sanction acts of unfair competition is not met.”  </w:t>
        <w:br/>
        <w:t>(46) Consequently, it would not be sufficient for the reported actions to constitute an unfair act, but it would also be necessary to justify that they have caused serious harm to competition and to the public interest.</w:t>
      </w:r>
    </w:p>
    <w:p>
      <w:r>
        <w:rPr>
          <w:b/>
        </w:rPr>
        <w:t>[Pages 19–21]</w:t>
      </w:r>
    </w:p>
    <w:p>
      <w:r>
        <w:t xml:space="preserve">S/0014/20  </w:t>
        <w:br/>
        <w:t xml:space="preserve">STRATEGIC CONSUMPTION  </w:t>
        <w:br/>
        <w:t xml:space="preserve">(47) Based on all the previous considerations, the classification of the campaign as a boycott constituting an act of unfair competition that infringes Article 3 of the LDC is subject to the analysis of the concurrence of the requirements related to the distortion of free competition and the impact on the public interest.  </w:t>
        <w:br/>
        <w:t xml:space="preserve">V.3.B. On the impact on the public interest due to distortion of free competition  </w:t>
        <w:br/>
        <w:t xml:space="preserve">(48) When analyzing whether there has been a distortion of free competition affecting the public interest as a result of the allegedly unfair conduct, it must be determined whether the launch of the "Consum Estratègic" campaign has caused or could have caused a serious disruption of the normal course of competition in the considered markets.  </w:t>
        <w:br/>
        <w:t xml:space="preserve">(49) In line with the latest precedents of the Competition Authority regarding the application of Article 3 of the LDC endorsed by the courts, it has been deemed essential to substantiate the quantitative scope of the unfair practices, along with other criteria such as the dominant position or relative significance of the entity carrying it out, the market situation at the time of the events, the potential of the judged conduct to hinder the access or permanence of competitors in the market, or other circumstances or similar factors that allow corroborating the significance in the intensity with which the public interest is or could be harmed99.  </w:t>
        <w:br/>
        <w:t xml:space="preserve">(50) Taking these criteria into consideration, the DC has conducted a thorough investigation to determine the existence or not of prohibited practices, as characterized in the section of proven facts. The consultations carried out were necessarily directed to the most representative sectors according to the words of the ANC itself (electricity and gas supply - free market -, mobile phone and internet services, banking and financial services, insurance companies, and food retail distribution companies).  </w:t>
        <w:br/>
        <w:t xml:space="preserve">(51) In general, the consulted operators have stated that, according to their internal business data and experience in the corresponding market, it cannot be inferred that the analyzed campaign has had an impact on the results of their commercial activity.  </w:t>
        <w:br/>
        <w:t xml:space="preserve">(52) Furthermore, it has been verified that the estimates of contractual changes disseminated by the ANC in its press conference at the end of June 2019 had an eminently advertising purpose, so they cannot be taken as reliable and rigorous data.  </w:t>
        <w:br/>
        <w:t xml:space="preserve">(53) Additionally, the DC has analyzed the evolution of market shares in the markets of the analyzed sectors (tables in annex).  </w:t>
        <w:br/>
        <w:t xml:space="preserve">(54) From the analysis conducted by the DC, we cannot conclude that the "Consum Estratègic" campaign has had a significant incidence that allows it to be isolated as a decisive factor in the change of contracts in the analyzed sectors.  </w:t>
        <w:br/>
        <w:t xml:space="preserve">(55) In the energy sector, market shares in Catalonia have been analyzed for the period 2015-2020 (Table 1 in Annex), without it being plausible to attribute the evolution produced to elements external to the competitive dynamics inherent to liberalized markets, in which the main operators are losing share due to the competitive pressures exerted by these new entrants, without sufficient indications to presume that the latter could have benefited from the call promoted by the ANC. The increases experienced by companies such as [confidential], which registered in the Consum Estratègic website and participated in consumer fairs, as well as [confidential], which, although not registered on the aforementioned website, did participate in some fairs100, cannot be considered as a consequence of the ANC campaign, since there were also significant increases from companies such as [confidential] —undoubtedly associated with the "IBEX35" concept— and [confidential], which did not participate in the ANC campaign. This reinforces the conclusion proposed by the DC that the variations in market shares are due to the competitive dynamics of the market. From the data reflected in Table 1, it follows that, in relation to the evolution of supply points in Catalonia, there is a progressive and constant growth of non-integrated operators, regardless of: (i) their potential participation in the campaign, whether directly (through registration in its supplier registry), or indirectly (by participating in some consumer fair), or (ii) whether they are operators completely disconnected from the values and objectives promoted by the ANC. Similar conclusions are reached regarding gas supply (Table 2 in annex), showing the monthly evolution of supply points in certain gas marketers (free market) in Catalonia, in percentage terms relative to the total supply points in the mentioned territory, at specific moments included in the period 2015-2020. Just as in the free electricity market, those smaller marketers compared to the large traditional energy groups in Spain have generally experienced a progressive growth of their share in the free gas market. In particular, we are referring to [confidential]. The analyzed data also do not allow concluding that the evolution experienced by gas marketers in Catalonia, in the period 2015-2020, is due to criteria external to the competitive dynamics of the market.  </w:t>
        <w:br/>
        <w:t xml:space="preserve">(56) The consulted mobile phone and internet operators agree in dismissing that the ANC campaign has been capable of affecting the competitive structure of the market in Catalonia. These assessments provided by the consulted telecommunications operators in the context of the reference file are consistent with the analysis of public data regarding the evolution of shares by postpaid mobile lines in various points of the Spanish geography, carried out by the DC corresponding to the years 2016 to 2019 in the autonomous communities of Catalonia, Murcia, Madrid, and Andalusia (Table 3). The conclusion from the data is the absence of an abnormal growth of virtual operators in Catalonia, which could be indicative of the success of the campaign to the detriment of traditional operators.  </w:t>
        <w:br/>
        <w:t xml:space="preserve">(57) Both the financial entities and the insurance companies consulted in the context of this file agree in stating that the "Consum Estratègic" campaign has not had an impact on the results of their commercial activity, having detected no abnormal cancellation of services by their clients in Catalonia nor a shift of these towards other entities that could be considered aligned with the campaign's ideology. Additionally, some of the consulted entities have provided specific information to substantiate the absence of any potential impact of the campaign on their clients' decisions in Catalonia. The consulted entities [confidential] agree in stating that their data have not experienced a negative evolution during the analyzed period. In particular, according to the financial entity's data on account transfers recorded in accordance with Order ECE/228/2019101, during the year 2019 none of these transfers were directed to any financial entity linked to the ANC campaign. Therefore, it is not possible to conclude that the boycott instigated by the ANC through the "Consum Estratègic" campaign was capable of altering the competitive functioning of the banking and financial services and insurance markets, causing harm to the public interest.  </w:t>
        <w:br/>
        <w:t>101 Order ECE/228/2019, of February 28, on basic payment accounts, account transfer procedures, and requirements for comparison websites.</w:t>
      </w:r>
    </w:p>
    <w:p>
      <w:r>
        <w:rPr>
          <w:b/>
        </w:rPr>
        <w:t>[Pages 22–24]</w:t>
      </w:r>
    </w:p>
    <w:p>
      <w:r>
        <w:t xml:space="preserve">S/0014/20  </w:t>
        <w:br/>
        <w:t xml:space="preserve">STRATEGIC CONSUMPTION  </w:t>
        <w:br/>
        <w:t xml:space="preserve">(58) The two consulted retail food distribution operators in the context of this file, [confidential], do not consider that the "Consum Estratègic" campaign has had any effects on their business, whether through a decrease in sales or reputational damage.  </w:t>
        <w:br/>
        <w:t xml:space="preserve">Additionally, the DC evaluated the evolution of the sector in Catalonia during the reference period using the number of commercial establishments102 (Table 4) and the net turnover of the chains (Table 5) as variables.  </w:t>
        <w:br/>
        <w:t xml:space="preserve">Specifically, retail food distribution groups with a presence in all or part of the national territory103 were selected, without evidence of their participation in the campaign.  </w:t>
        <w:br/>
        <w:t xml:space="preserve">In particular, the percentage of commercial establishments, in relation to the total in Catalonia, that each of the mentioned commercial groups had in that territory in each of the years included in the period 2016-2020 (both inclusive) was analyzed (Table 4 in the annex).  </w:t>
        <w:br/>
        <w:t xml:space="preserve">According to the data, both [confidential] and [confidential] have undertaken a strategy of progressive and constant expansion in Catalonia, ranking second and third respectively in terms of the number of establishments in Catalonia in 2020.  </w:t>
        <w:br/>
        <w:t xml:space="preserve">Secondly, the evolution of the net turnover obtained in Catalonia by the previously indicated operators was analyzed (Table 5 in the annex) for each of the years included in the period 2016-2020, in absolute and percentage terms (in relation to the total volume of the consulted operators in the context of the file).  </w:t>
        <w:br/>
        <w:t xml:space="preserve">The table shows a parallelism between the evolution of the turnover data and the number of commercial establishments managed by these food distributors.  </w:t>
        <w:br/>
        <w:t xml:space="preserve">In particular, while companies like [confidential] have been reducing their sales volume in Catalonia, [confidential] have increased their turnover in the analyzed years.  </w:t>
        <w:br/>
        <w:t xml:space="preserve">102 For these purposes, the information has been prepared based on data provided by the ALIMARKET database, particularly the monographic reports for 2017, 2018, 2019, 2020, and 2021 on the food distribution sector in Catalonia (which includes information as of December 31 of the year immediately prior to the corresponding report).  </w:t>
        <w:br/>
        <w:t xml:space="preserve">103 By way of example, [confidential] states in its interactive annual report for the year 2019 (slide 100), publicly accessible via the internet:  </w:t>
        <w:br/>
        <w:t xml:space="preserve">“We are committed to the territory and with a vision for the future. We want to be part of the daily life of the citizens of Catalonia. We are food professionals with a vocation for the country.”  </w:t>
        <w:br/>
        <w:t xml:space="preserve">S/0014/20  </w:t>
        <w:br/>
        <w:t xml:space="preserve">STRATEGIC CONSUMPTION  </w:t>
        <w:br/>
        <w:t xml:space="preserve">The above data leads us to conclude that there is no substantiated evidence of anomalous behavior in the retail food distribution market in Catalonia that can be attributed to the "Consum Estratègic" campaign.  </w:t>
        <w:br/>
        <w:t xml:space="preserve">Therefore, there is no indication that allows us to conclude that the improvement in market share experienced by [confidential] is a consequence of the boycott instigated by the ANC, especially considering its expansive commercial policy, with the constant opening of new establishments.  </w:t>
        <w:br/>
        <w:t xml:space="preserve">V.3.C. Conclusion  </w:t>
        <w:br/>
        <w:t xml:space="preserve">(59) This Chamber considers that there is no evidence that the competitive dynamics of the markets have been altered as a result of the boycott promoted by the ANC through its "Consum Estratègic" campaign.  </w:t>
        <w:br/>
        <w:t xml:space="preserve">This conclusion is supported by four essential elements:  </w:t>
        <w:br/>
        <w:t xml:space="preserve">- The statements of the companies presumably affected, which almost entirely dismiss the existence of economic or reputational damages as a consequence of the campaign.  </w:t>
        <w:br/>
        <w:t xml:space="preserve">- The absence of evidence or elements that substantiate the effects of the conduct in the information provided by the complainant.  </w:t>
        <w:br/>
        <w:t xml:space="preserve">- The merely advertising and imprecise nature of the follow-up data on the campaign disclosed by the ANC, as has been evidenced in the file.  </w:t>
        <w:br/>
        <w:t xml:space="preserve">- The evolution of the analyzed markets is consistent with what would be expected from their own competitive dynamics, without it being possible to assert that the boycott has distorted their normal functioning.  </w:t>
        <w:br/>
        <w:t xml:space="preserve">(60) Therefore, although as a result of the campaign launched by the ANC, there may have been contracts in favor of companies aligned with the ANC's objectives, it has not been substantiated that these have materialized in the market with the necessary relevance to understand the public interest affected by the LDC.  </w:t>
        <w:br/>
        <w:t xml:space="preserve">(61) All of the above leads this Chamber to conclude, in line with what has been proposed by the DC, that one of the necessary concurrence requirements for the appreciation of the illicit nature of Article 3 of the LDC is not met in this case, namely, the impact on the public interest due to distortion of free competition.  </w:t>
        <w:br/>
        <w:t xml:space="preserve">V.4. [FOURTH] allegations of the ANC  </w:t>
        <w:br/>
        <w:t xml:space="preserve">V.4.A. On the alleged impropriety of the investigation  </w:t>
        <w:br/>
        <w:t xml:space="preserve">(62) One of the central elements of the ANC's written allegations is that the "Consum Estratègic" campaign should not have given rise to a formal investigation by the CNMC due to the failure to meet the objective and subjective requirements needed for it.  </w:t>
        <w:br/>
        <w:t xml:space="preserve">The ANC considers that its own nature as a civil society, the limited follow-up of the campaign, its truthful character, and the lack of specificity in the complaint by FTN were sufficient elements not to proceed with the initiation of the sanctioning file.  </w:t>
        <w:br/>
        <w:t xml:space="preserve">(63) Well, this Chamber, in line with what has already been stated by the DC, rejects all the arguments of the ANC.  </w:t>
        <w:br/>
        <w:t xml:space="preserve">(64) Firstly, as already stated in the Proposal for Resolution, we must start from the broad concept of enterprise used in the field of competition which, from a functional perspective, encompasses any entity that engages in an economic activity regardless of its legal status or mode of financing104. Economic activity is also broadly defined as the action of offering goods or services in a specific market105.  </w:t>
        <w:br/>
        <w:t xml:space="preserve">(65) Setting aside the economic activities of the ANC, it should be noted that, as a result of the extensive and prolonged application of the previous doctrine in the context of both EU and Spanish competition law, in certain cases and under certain conditions, entities performing certain representative, professional, social, or political functions106 have been sanctioned.  </w:t>
        <w:br/>
        <w:t xml:space="preserve">(66) Once it is established that the ANC is subject to compliance with competition regulations under the requirements mentioned above, we must dismiss the notion that its campaign had the merely anecdotal character invoked by the claimant.  </w:t>
        <w:br/>
        <w:t xml:space="preserve">The development of the investigation has demonstrated that the follow-up of the campaign was moderate and its consequences negligible, but to reach these conclusions, the work carried out by the DC has been necessary. In no case has it been established that  </w:t>
        <w:br/>
        <w:t xml:space="preserve">104 Among others, judgments of the CJEU of April 23, 1991, case C-41/90, Höfner and Elser, para. 21; of June 18, 1998, case C-35/96, Commission v. Italy, para. 36; of February 19, 2002, case C-309/99, Wouters and others, para. 46; of March 16, 2004, cases C-264/01, C-306/01, C-354/01, and C-355/01, AOK-Bundesverband and others, para. 46; of June 28, 2005, cases C-189/02 P, C-202/02 P, C-205/02 P to C-208/02 P and C-213/02 P, Dansk Rørindustri and others/Commission, para. 112; of January 10, 2006, case C-222/04, Cassa di Risparmio di Firenze and others, para. 107; of July 11, 2006, FENIN/Commission, C-205/03 P, para. 25.  </w:t>
        <w:br/>
        <w:t xml:space="preserve">105 Judgment of the CJEU of June 18, 1998, case C-35/96, para. 36.  </w:t>
        <w:br/>
        <w:t xml:space="preserve">106 Resolution of the CNC of April 14, 2009 (file S/0639/08 COLEGIO FARMACEUTICOS CASTILLA-LA MANCHA); Resolution of the CNMC of September 18, 2020 (file S/0619/17 ACUERDO MARCO DE LA ESTIBA); Decision of the Commission of April 2, 2003, Case COMP/C38279/F3.- French beef, para. 112; SAN of July 20, 2018 (appeal number 782/2017) or STS 3525/2016 of July 18, 2016 (appeal number 2946/2013).  </w:t>
        <w:br/>
        <w:t xml:space="preserve">Comisión Nacional de los Mercados y la Competencia 24 de 32  </w:t>
        <w:br/>
        <w:t xml:space="preserve">C/ Alcalá, 47 – 28014 Madrid - C/ Bolivia, 56 – 08018 Barcelona  </w:t>
        <w:br/>
        <w:t>www.cnmc.es</w:t>
      </w:r>
    </w:p>
    <w:p>
      <w:r>
        <w:rPr>
          <w:b/>
        </w:rPr>
        <w:t>[Pages 25–27]</w:t>
      </w:r>
    </w:p>
    <w:p>
      <w:r>
        <w:t xml:space="preserve">S/0014/20  </w:t>
        <w:br/>
        <w:t xml:space="preserve">STRATEGIC CONSUMPTION  </w:t>
        <w:br/>
        <w:t xml:space="preserve">was addressing evident issues ab initio, but the ANC claimed 148,000 changes of supplier company that later proved to be lacking in rigor.  </w:t>
        <w:br/>
        <w:t xml:space="preserve">(67) The ANC errs in considering that its discursive parameters denote the evidence of merely advertising claims, as the CNMC is not bound by the allegedly notorious context disconnected from reality in which the ANC discloses the impact figures of its campaign, but must determine when there are indications of possible unlawful conduct. The DC considered that there were sufficient elements to investigate a possible anticompetitive conduct with a discriminatory bias, without prejudging the outcome of the investigation. The allegation by the ANC that seeks to restrict the capacity of an independent authority to ensure compliance with its legal purposes, beyond the effective result of the investigation, cannot be accepted.  </w:t>
        <w:br/>
        <w:t xml:space="preserve">(68) Although the ANC attempts to minimize its role by claiming that it merely informs about parameters of responsible consumption, during the analyzed period it is one of the organizations with the greatest mobilizing capacity in Catalonia. The ANC's own statements pointed to its effective intermediation between companies and strategic consumers, even if it was not for profit. In this sense, the assertion on the association's website has already been transcribed that "We will put you in contact with the service provider companies" (page 177). The mobilization capacity of the ANC was extensive, notwithstanding that in this matter it has materialized in a discreet follow-up by society and the effective closure of the "Consum Estratègic" website by a court order. In this context, not only is the number of companies that ultimately joined the campaign relevant, but also the echo that it aspired to have based on the presence of the ANC throughout Catalonia, with high capillarity.  </w:t>
        <w:br/>
        <w:t xml:space="preserve">(69) On the other hand, the complaint by FTN highlighted a situation whose impact could be significant and, along with the ANC's own statements that have been brought into the file, formed a set of rational indications that led the DC to initiate the proceedings. As the complainant knows, sanctioning proceedings are initiated ex officio by the DC, without being bound by the intentions of potential complainants, but by the substance of the facts allegedly occurred. This also leads us to reject the ANC's consideration regarding the alleged lack of interest of FTN in the processing of the procedure, since the ultimate objective of the CNMC is the protection of consumers and users, for which it is not subject to private impetus against alleged unlawful acts.  </w:t>
        <w:br/>
        <w:t xml:space="preserve">National Commission of Markets and Competition 25 of 32  </w:t>
        <w:br/>
        <w:t xml:space="preserve">C/ Alcalá, 47 – 28014 Madrid - C/ Bolivia, 56 – 08018 Barcelona  </w:t>
        <w:br/>
        <w:t>www.cnmc.es</w:t>
      </w:r>
    </w:p>
    <w:p>
      <w:r>
        <w:t xml:space="preserve">S/0014/20  </w:t>
        <w:br/>
        <w:t xml:space="preserve">STRATEGIC CONSUMPTION  </w:t>
        <w:br/>
        <w:t xml:space="preserve">V.4.B. On the alleged violation of freedom of expression  </w:t>
        <w:br/>
        <w:t xml:space="preserve">(70) The ANC considers that the investigation by the CNMC constituted an "unacceptable form of censorship," as the defense of free competition "cannot be used as an instrument to restrict the free expression of opinions that are uncomfortable or even contrary to the current political system."  </w:t>
        <w:br/>
        <w:t xml:space="preserve">(71) The fundamental right to freedom of expression, which is basic in our system, does not encompass the right not to be investigated, with all guarantees, for a hypothetical violation of the legal system. In the face of the possibility that the actions of the ANC could have constituted conduct contrary to effective competition, the obligation of a diligent authority was to conduct a thorough investigation into the impact of such actions to determine whether they could be classified as infringing107. An investigation that has not caused any detriment to the ANC, but has accredited the non-existence of an infringement with the minimum possible intervention.  </w:t>
        <w:br/>
        <w:t xml:space="preserve">(72) The fact that the actions and statements of the ANC are part of the broader discourse linked to the foundational objectives of the ANC does not automatically preclude an investigation into them; the investigation of the possible unlawful consequences of human expression is not a form of censorship, as the ANC mistakenly argues, but a guarantee of its respectful and balanced exercise with the rest of the rights at stake. In this regard, it is worth recalling the ruling of the Commercial Court number 11 of Barcelona, regarding the precautionary measures requested by FNT that led to the suspension of the campaign108:  </w:t>
        <w:br/>
        <w:t xml:space="preserve">"In this case, the damages to the indicated companies are of enormous severity, the risk of ineffectiveness is high, and it does not seem appropriate for the created situation to be maintained during the processing of the procedure, so the periculum in mora must be estimated."  </w:t>
        <w:br/>
        <w:t xml:space="preserve">(73) From the account of the allegations, it seems to be inferred that the ANC has only carried out a positive action aimed at promoting the hiring of companies aligned with its values, but what was at stake in the instruction of the file was the possible existence of a distortion of free competition due to the boycott of a plurality of companies for reasons related to the objectives  </w:t>
        <w:br/>
        <w:t xml:space="preserve">107 The ANC ceased its campaign to comply with the precautionary measures of which it informed in a statement, recalling that the Commercial Court number 11 of Barcelona partially estimated the precautionary measures requested by Foment del Treball in a resolution of December 20, 2019, which imposed on the ANC the closure of the website and the prohibition of making public action of the "Consum Estratègic" campaign.  </w:t>
        <w:br/>
        <w:t xml:space="preserve">108 Order of the Commercial Court No. 11 of Barcelona of December 20, 2019 (precautionary measure procedure 1537/2019).  </w:t>
        <w:br/>
        <w:t xml:space="preserve">National Commission of Markets and Competition 26 of 32  </w:t>
        <w:br/>
        <w:t xml:space="preserve">C/ Alcalá, 47 – 28014 Madrid - C/ Bolivia, 56 – 08018 Barcelona  </w:t>
        <w:br/>
        <w:t>www.cnmc.es</w:t>
      </w:r>
    </w:p>
    <w:p>
      <w:r>
        <w:t xml:space="preserve">S/0014/20  </w:t>
        <w:br/>
        <w:t xml:space="preserve">STRATEGIC CONSUMPTION  </w:t>
        <w:br/>
        <w:t xml:space="preserve">of the ANC, thus assuming a possible case of prohibited discrimination that would be encouraged by the ANC. Subsequently, from the analysis of the data obtained during the instruction, it has been accredited that the essential elements to declare an infringement of the LDC are not present, without this discrediting the existence of indications that led the DC to investigate in order to analyze the existence of the illicit.  </w:t>
        <w:br/>
        <w:t xml:space="preserve">(74) Therefore, not only must the alleged overreach of the DC be dismissed, but also the mere existence of an impact on freedom of expression, given that the procedure has been absolutely respectful of its exercise by the ANC, without the ANC being able to state any detriment suffered as a result of the investigation by the DC.  </w:t>
        <w:br/>
        <w:t xml:space="preserve">V.4.C. On the alleged biases of the investigation  </w:t>
        <w:br/>
        <w:t xml:space="preserve">(75) Finally, the ANC considers that the investigation by the DC would be flawed from the outset due to alleged bias stemming from its political prejudices. According to the ANC, this would be evident in elements such as the drafting of the requests to the companies in its inquiry about the possible consequences of the campaign or in the indiscriminate investigation with a broad definition of the market.  </w:t>
        <w:br/>
        <w:t xml:space="preserve">(76) In this regard, it has already been seen how the investigation by the DC has been complex due to the broad spectrum of the "Consum Estratègic" campaign designed by the ANC that targeted all products and services in the market. Given the practical impossibility of investigating the influence of the campaign on all goods and services in the market, the DC focused on those to which the ANC itself attributed more importance. Therefore, the actions of the DC were conducted transparently and justified, without "searching for incriminating evidence," but with the necessary rigor to demonstrate the existence or non-existence of potentially distorting conduct of effective competition.  </w:t>
        <w:br/>
        <w:t xml:space="preserve">(77) The alleged bias of the request made to the potentially affected companies must also be dismissed, again due to a misleading citation by the ANC. Indeed, the complainant emphasizes the supposed predetermination of the ruling −which has been shown to be non-existent− based on the following literal wording:  </w:t>
        <w:br/>
        <w:t xml:space="preserve">"Such conduct consisted of the launch and development by the ANC of the campaign 'Strategic Consumption,' with the aim that consumers and companies refrain from contracting the products or services offered by certain companies, for reasons unrelated to competition based on their own merits, which could significantly distort the  </w:t>
        <w:br/>
        <w:t xml:space="preserve">National Commission of Markets and Competition 27 of 32  </w:t>
        <w:br/>
        <w:t xml:space="preserve">C/ Alcalá, 47 – 28014 Madrid - C/ Bolivia, 56 – 08018 Barcelona  </w:t>
        <w:br/>
        <w:t>www.cnmc.es</w:t>
      </w:r>
    </w:p>
    <w:p>
      <w:r>
        <w:rPr>
          <w:b/>
        </w:rPr>
        <w:t>[Pages 28–30]</w:t>
      </w:r>
    </w:p>
    <w:p>
      <w:r>
        <w:t xml:space="preserve">S/0014/20  </w:t>
        <w:br/>
        <w:t xml:space="preserve">STRATEGIC CONSUMPTION  </w:t>
        <w:br/>
        <w:t xml:space="preserve">the economic behavior of such consumers and the competitive structure of the market.”  </w:t>
        <w:br/>
        <w:t xml:space="preserve">(78) However, the ANC omits the immediately preceding paragraph of the same document: “On December 17, 2020, an agreement was issued by the Director of Competition in accordance with the provisions of Article 49.1 of the LDC, initiating a sanctioning file against ASAMBLEA NACIONAL CATALANA (ANC) as well as against any other persons or entities that may appear linked to the facts reported by FOMENTO DEL TRABAJO NACIONAL (FNT), for possible prohibited conduct under Article 3 of the LDC.” (Emphasis added).  </w:t>
        <w:br/>
        <w:t xml:space="preserve">(79) On the other hand, the fact that the DC asked the companies about the “degree of impact” and the “incidence” of the campaign is in no way inappropriate nor does it prejudge the outcome of the investigation, given that the very existence of the campaign has not been questioned by any of the parties, due to its manifest nature. The question does not condition the answer in any way, because it always refers to a possible conduct that is being investigated. The mere provision of figures would not have been suitable to explain the effectiveness of the campaign, as only a significant extent of customer loss due to the campaign would have been relevant, being the task of the DC to individualize its causes. This is a complex task that the DC has carried out rigorously given the breadth of the campaign conducted by the ANC.  </w:t>
        <w:br/>
        <w:t xml:space="preserve">(80) In light of the previous background and legal grounds, the Competition Chamber of the CNMC  </w:t>
        <w:br/>
        <w:t xml:space="preserve">VI. RESOLVES  </w:t>
        <w:br/>
        <w:t xml:space="preserve">Sole. To declare that the existence of an infringement of Article 3 of the LDC by the ASSEMBLEA NACIONAL CATALANA (ANC) has not been proven and, consequently, to declare the filing of the proceedings, in accordance with the third legal ground of this resolution.  </w:t>
        <w:br/>
        <w:t xml:space="preserve">This Resolution shall be communicated to the Directorate of Competition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  </w:t>
        <w:br/>
        <w:t xml:space="preserve">National Commission of Markets and Competition  </w:t>
        <w:br/>
        <w:t xml:space="preserve">C/ Alcalá, 47 – 28014 Madrid - C/ Bolivia, 56 – 08018 Barcelona  </w:t>
        <w:br/>
        <w:t>www.cnmc.es</w:t>
      </w:r>
    </w:p>
    <w:p>
      <w:r>
        <w:t xml:space="preserve">S/0014/20  </w:t>
        <w:br/>
        <w:t xml:space="preserve">STRATEGIC CONSUMPTION  </w:t>
        <w:br/>
        <w:t xml:space="preserve">ANNEX  </w:t>
        <w:br/>
        <w:t xml:space="preserve">Table 1. Monthly evolution of service points by electricity marketer in Catalonia (period 2015 to 2020)  </w:t>
        <w:br/>
        <w:t xml:space="preserve">S/0014/20 MONTHLY EVOLUTION OF SERVICE POINTS BY ELECTRICITY MARKETER (FREE MARKET) IN CATALONIA (2015-2020)  </w:t>
        <w:br/>
        <w:t xml:space="preserve">MARKETER jan-15 jan-16 jan-17 jan-18 oct-18 nov-18 jan-19 jul-19 jan-20 dec-20  </w:t>
        <w:br/>
        <w:t xml:space="preserve">AURA ENERGÍA 0.04% 0.06% 0.08% 0.14% 0.11% 0.11% 0.08% 0.08% 0.12% 0.14%  </w:t>
        <w:br/>
        <w:t xml:space="preserve">CATGAS ENERGÍA 0% 0.03% 0.04% 0.09% 0.09% 0.11% 0.17% 0.31% 0.41%  </w:t>
        <w:br/>
        <w:t xml:space="preserve">EDP 1.01% 1.24% 1.36% 1.28% 1.30% 1.30% 1.29% 1.28% 1.36% 1.54%  </w:t>
        <w:br/>
        <w:t xml:space="preserve">ENDESA 63.15% 64.19% 64.89% 63.42% 61.91% 61.81% 61.61% 60.66% 59.43% 55.93%  </w:t>
        <w:br/>
        <w:t xml:space="preserve">ESTABANELL Y PAHISA 2.35% 2.11% 1.96% 1.82% 1.77% 1.77% 1.75% 1.73% 1.70% 1.65%  </w:t>
        <w:br/>
        <w:t xml:space="preserve">FACTOR ENERGÍA 0.58% 0.59% 0.58% 0.67% 0.78% 0.81% 0.87% 1.09% 1.26% 1.61%  </w:t>
        <w:br/>
        <w:t xml:space="preserve">HOLALUZ 0.33% 0.46% 0.72% 1.10% 1.53% 1.60% 1.72% 2.03% 2.26% 2.75%  </w:t>
        <w:br/>
        <w:t xml:space="preserve">IBERDROLA 7.15% 6.84% 6.32% 5.95% 5.88% 5.87% 5.89% 5.79% 5.76% 6.45%  </w:t>
        <w:br/>
        <w:t xml:space="preserve">NATURGY 17.63% 16.75% 15.82% 15.87% 15.30% 15.11% 14.62% 13.68% 12.95% 12.22%  </w:t>
        <w:br/>
        <w:t xml:space="preserve">REPSOL 0.74% 0.59% 0.67% 0.84% 0.96% 1.00% 1.07% 1.49% 1.82% 2.11%  </w:t>
        <w:br/>
        <w:t xml:space="preserve">SOM ENERGÍA 0.51% 0.67% 0.86% 1.38% 1.84% 1.89% 2.03% 2.23% 2.48% 2.68%  </w:t>
        <w:br/>
        <w:t xml:space="preserve">TOTAL 93.49% 93.50% 93.29% 92.50% 91.48% 91.36% 91.05% 90.22% 89.44% 87.49%  </w:t>
        <w:br/>
        <w:t xml:space="preserve">Source: Directorate of Energy of the CNMC  </w:t>
        <w:br/>
        <w:t xml:space="preserve">The data used to prepare the table has been provided within the framework of this file by the Directorate of Energy of the CNMC (folios 573 to 578). Regarding this information, it should be noted that:  </w:t>
        <w:br/>
        <w:t xml:space="preserve">✓ The data refers to the last day of each period.  </w:t>
        <w:br/>
        <w:t xml:space="preserve">✓ The percentage of supply points of each group/marketer, for each period, is referenced to the total number of supply points in the Autonomous Community of Catalonia in the free market.  </w:t>
        <w:br/>
        <w:t xml:space="preserve">National Commission of Markets and Competition  </w:t>
        <w:br/>
        <w:t xml:space="preserve">C/ Alcalá, 47 – 28014 Madrid - C/ Bolivia, 56 – 08018 Barcelona  </w:t>
        <w:br/>
        <w:t>www.cnmc.es</w:t>
      </w:r>
    </w:p>
    <w:p>
      <w:r>
        <w:t xml:space="preserve">S/0014/20  </w:t>
        <w:br/>
        <w:t xml:space="preserve">STRATEGIC CONSUMPTION  </w:t>
        <w:br/>
        <w:t xml:space="preserve">Table 2. Monthly evolution of service points by gas marketer in Catalonia (period 2015 to 2020)  </w:t>
        <w:br/>
        <w:t xml:space="preserve">S/0014/20 MONTHLY EVOLUTION OF SERVICE POINTS BY GAS MARKETER (FREE MARKET) IN CATALONIA (2015-2020)  </w:t>
        <w:br/>
        <w:t xml:space="preserve">MARKETER jan-15 jan-16 jan-17 jan-18 oct-18 nov-18 jan-19 jul-19 jan-20 dec-20  </w:t>
        <w:br/>
        <w:t xml:space="preserve">AURA ENERGÍA ---- ---- ---- ---- ---- ---- 0.00% 0.00% ---- 0.01%  </w:t>
        <w:br/>
        <w:t xml:space="preserve">CATGAS ENERGÍA 0.00% 0.01% 0.03% 0.17% 0.43% 0.47% 0.55% 0.77% 1.11% 1.36%  </w:t>
        <w:br/>
        <w:t xml:space="preserve">EDP 1.50% 1.73% 1.86% 1.84% 1.88% 1.89% 1.91% 1.97% 2.13% 2.39%  </w:t>
        <w:br/>
        <w:t xml:space="preserve">ENDESA 20.79% 22.48% 24.42% 24.41% 24.67% 24.68% 24.79% 25.22% 25.37% 25.35%  </w:t>
        <w:br/>
        <w:t xml:space="preserve">FACTOR ENERGÍA 0.00% 0.00% 0.01% 0.12% 0.26% 0.28% 0.33% 0.58% 0.82% 1.29%  </w:t>
        <w:br/>
        <w:t xml:space="preserve">HOLALUZ 0.00% 0.05% 0.21% 0.41% 0.45% 0.50% 0.65% 0.83% 1.31%  </w:t>
        <w:br/>
        <w:t xml:space="preserve">IBERDROLA 7.27% 7.10% 6.61% 6.31% 6.01% 5.92% 5.73% 5.61% 5.52% 5.76%  </w:t>
        <w:br/>
        <w:t xml:space="preserve">NATURGY 69.69% 68.03% 66.14% 65.53% 64.31% 64.22% 63.90% 62.17% 60.22% 57.39%  </w:t>
        <w:br/>
        <w:t xml:space="preserve">REPSOL 0.50% 0.44% 0.57% 0.78% 0.91% 0.93% 1.00% 1.34% 1.74% 2.04%  </w:t>
        <w:br/>
        <w:t xml:space="preserve">TOTAL 99.75% 99.80% 99.70% 99.38% 98.88% 98.84% 98.72% 98.32% 97.75% 96.90%  </w:t>
        <w:br/>
        <w:t xml:space="preserve">Source: Own elaboration with data from the CNMC.  </w:t>
        <w:br/>
        <w:t xml:space="preserve">Table 3. Evolution of shares by postpaid mobile lines in Catalonia (period 2016 to 2019)  </w:t>
        <w:br/>
        <w:t xml:space="preserve">EVOLUTION OF SHARES BY POSTPAID MOBILE LINES IN CATALONIA (2016-2019)  </w:t>
        <w:br/>
        <w:t xml:space="preserve">OPERATOR 2016 2017 2018 2019  </w:t>
        <w:br/>
        <w:t xml:space="preserve">MOVISTAR 38.30% 39.10% 38.90% 38.80%  </w:t>
        <w:br/>
        <w:t xml:space="preserve">VODAFONE 23.90% 22.70% 21.40% 20.50%  </w:t>
        <w:br/>
        <w:t xml:space="preserve">ORANGE 30.00% 29.40% 28.00% 27.40%  </w:t>
        <w:br/>
        <w:t xml:space="preserve">GRUPO MASMOVIL 0.00% 8.10% 10.60% 11.80%  </w:t>
        <w:br/>
        <w:t xml:space="preserve">RESTO 7.80% 0.80% 1.20% 1.50%  </w:t>
        <w:br/>
        <w:t xml:space="preserve">For the data relating to gas supply points (free market) in Catalonia, the same clarifications provided regarding the free electricity market should be taken into account.  </w:t>
        <w:br/>
        <w:t xml:space="preserve">Data extracted from the CNMC website: CNMC Data (Geographical Data by provinces and Autonomous Communities): http://data.cnmc.es/datagraph/. Data broken down by Operators with Own Network (OMR): MOVISTAR, VODAFONE, ORANGE, and GRUPO MASMOVIL, as well as the total of Virtual Mobile Operators (OMV, grouped under the category “resto,” according to the public data from the CNMC database), among which is PARLEM, an operator that participated in the “Consumo Estratégico” campaign. Autonomous Communities of Catalonia, Madrid, Murcia, and Andalusia.  </w:t>
        <w:br/>
        <w:t xml:space="preserve">National Commission of Markets and Competition  </w:t>
        <w:br/>
        <w:t xml:space="preserve">C/ Alcalá, 47 – 28014 Madrid - C/ Bolivia, 56 – 08018 Barcelona  </w:t>
        <w:br/>
        <w:t>www.cnmc.es</w:t>
      </w:r>
    </w:p>
    <w:p>
      <w:r>
        <w:rPr>
          <w:b/>
        </w:rPr>
        <w:t>[Pages 31–32]</w:t>
      </w:r>
    </w:p>
    <w:p>
      <w:r>
        <w:t xml:space="preserve">S/0014/20  </w:t>
        <w:br/>
        <w:t xml:space="preserve">STRATEGIC CONSUMPTION  </w:t>
        <w:br/>
        <w:t xml:space="preserve">EVOLUTION OF POSTPAID MOBILE LINE SHARES IN MURCIA (2016-2019)  </w:t>
        <w:br/>
        <w:t xml:space="preserve">OPERATOR 2016 2017 2018 2019  </w:t>
        <w:br/>
        <w:t xml:space="preserve">MOVISTAR 24.90% 24.50% 25.10% 24.10%  </w:t>
        <w:br/>
        <w:t xml:space="preserve">VODAFONE 29.60% 28.80% 29.40% 29.20%  </w:t>
        <w:br/>
        <w:t xml:space="preserve">ORANGE 28.50% 28.10% 29.10% 27.80%  </w:t>
        <w:br/>
        <w:t xml:space="preserve">GRUPO MASMOVIL 0.00% 14.10% 9.40% 11.10%  </w:t>
        <w:br/>
        <w:t xml:space="preserve">OTHER 17.00% 4.60% 7.00% 7.80%  </w:t>
        <w:br/>
        <w:t xml:space="preserve">EVOLUTION OF POSTPAID MOBILE LINE SHARES IN MADRID (2016-2019)  </w:t>
        <w:br/>
        <w:t xml:space="preserve">OPERATOR 2016 2017 2018 2019  </w:t>
        <w:br/>
        <w:t xml:space="preserve">MOVISTAR 42.80% 42.80% 42.70% 42.10%  </w:t>
        <w:br/>
        <w:t xml:space="preserve">VODAFONE 24.20% 23.60% 22.40% 21.30%  </w:t>
        <w:br/>
        <w:t xml:space="preserve">ORANGE 26.80% 26.60% 24.60% 23.00%  </w:t>
        <w:br/>
        <w:t xml:space="preserve">GRUPO MASMOVIL 0.00% 6.70% 9.70% 11.30%  </w:t>
        <w:br/>
        <w:t xml:space="preserve">OTHER 6.20% 0.40% 0.70% 2.30%  </w:t>
        <w:br/>
        <w:t xml:space="preserve">EVOLUTION OF POSTPAID MOBILE LINE SHARES IN ANDALUSIA (2016-2019)  </w:t>
        <w:br/>
        <w:t xml:space="preserve">OPERATOR 2016 2017 2018 2019  </w:t>
        <w:br/>
        <w:t xml:space="preserve">MOVISTAR 22.40% 22.50% 23.20% 23.80%  </w:t>
        <w:br/>
        <w:t xml:space="preserve">VODAFONE 31.90% 30.30% 28.40% 26.00%  </w:t>
        <w:br/>
        <w:t xml:space="preserve">ORANGE 32.70% 31.30% 29.90% 28.20%  </w:t>
        <w:br/>
        <w:t xml:space="preserve">GRUPO MASMOVIL 0.00% 13.50% 14.30% 16.40%  </w:t>
        <w:br/>
        <w:t xml:space="preserve">OTHER 13.00% 2.40% 4.10% 5.50%  </w:t>
        <w:br/>
        <w:t xml:space="preserve">Source: Own elaboration with statistical data from the CNMC.  </w:t>
        <w:br/>
        <w:t xml:space="preserve">Table 4. Evolution of the number of commercial establishments by group of food retail distribution in Catalonia (period 2016 to 2020)  </w:t>
        <w:br/>
        <w:t xml:space="preserve">EVOLUTION OF THE NUMBER OF COMMERCIAL ESTABLISHMENTS BY GROUP OF FOOD RETAIL DISTRIBUTION IN CATALONIA (%) PERIOD 2016 -2020  </w:t>
        <w:br/>
        <w:t xml:space="preserve">CHAIN  </w:t>
        <w:br/>
        <w:t xml:space="preserve">2016 2017 2018 2019 2020  </w:t>
        <w:br/>
        <w:t xml:space="preserve">DISTRIBUTOR  </w:t>
        <w:br/>
        <w:t xml:space="preserve">MERCADONA 15.8% 16.2% 16.2% 16.2% 16%  </w:t>
        <w:br/>
        <w:t xml:space="preserve">EROSKI 11.4% 10.8% 9.6% 9.2% 8.7%  </w:t>
        <w:br/>
        <w:t xml:space="preserve">GRUPO DIA 9.3% 8.9% 8.6% 7.6% 6.9%  </w:t>
        <w:br/>
        <w:t xml:space="preserve">CONDIS 8.7% 9% 9.2% 9.6% 9.9%  </w:t>
        <w:br/>
        <w:t xml:space="preserve">BONPREU 8% 8.4% 9% 9.4% 9.5%  </w:t>
        <w:br/>
        <w:t xml:space="preserve">CARREFOUR 7.6% 8% 8.1% 7.6% 7.5%  </w:t>
        <w:br/>
        <w:t xml:space="preserve">S/0014/20  </w:t>
        <w:br/>
        <w:t xml:space="preserve">STRATEGIC CONSUMPTION  </w:t>
        <w:br/>
        <w:t xml:space="preserve">CONSUM 5.3% 5.4% 5.6% 5.6% 5.6%  </w:t>
        <w:br/>
        <w:t xml:space="preserve">LIDL 4.6% 4.7% 4.9% 5.3% 5.7%  </w:t>
        <w:br/>
        <w:t xml:space="preserve">ALDI 2.7% 2.7% 3% 3.3% 3.4%  </w:t>
        <w:br/>
        <w:t xml:space="preserve">OTHER 26.6% 25.9% 25.8% 26.2% 26.8%  </w:t>
        <w:br/>
        <w:t xml:space="preserve">TOTAL 100% 100% 100% 100% 100%  </w:t>
        <w:br/>
        <w:t xml:space="preserve">Own elaboration based on data from ALIMARKET112  </w:t>
        <w:br/>
        <w:t xml:space="preserve">Table 5. Evolution of the billing volume of some of the main food retail distribution chains in Catalonia (period 2016 to 2020)  </w:t>
        <w:br/>
        <w:t xml:space="preserve">EVOLUTION OF THE BILLING VOLUME OF SOME OF THE MAIN FOOD RETAIL DISTRIBUTION CHAINS IN CATALONIA (2016-2020)113  </w:t>
        <w:br/>
        <w:t xml:space="preserve">2016 2017 2018 2019 2020  </w:t>
        <w:br/>
        <w:t xml:space="preserve">COMPANY  </w:t>
        <w:br/>
        <w:t xml:space="preserve">Percentage of total Percentage of total Percentage of total Percentage of total Percentage of total  </w:t>
        <w:br/>
        <w:t xml:space="preserve">[CONF] [CONF] [CONF] [CONF] [CONF]  </w:t>
        <w:br/>
        <w:t xml:space="preserve">[CONF]  </w:t>
        <w:br/>
        <w:t xml:space="preserve">[CONF] [CONF] [CONF] [CONF] [CONF]  </w:t>
        <w:br/>
        <w:t xml:space="preserve">[CONF]  </w:t>
        <w:br/>
        <w:t xml:space="preserve">[CONF] [CONF] [CONF] [CONF] [CONF] [CONF]  </w:t>
        <w:br/>
        <w:t xml:space="preserve">[CONF] [CONF] [CONF] [CONF] [CONF] [CONF]  </w:t>
        <w:br/>
        <w:t xml:space="preserve">[CONF] [CONF] [CONF] [CONF] [CONF] [CONF]  </w:t>
        <w:br/>
        <w:t xml:space="preserve">[CONF] [CONF] [CONF] [CONF] [CONF] [CONF]  </w:t>
        <w:br/>
        <w:t xml:space="preserve">[CONF] [CONF] [CONF] [CONF] [CONF] [CONF]  </w:t>
        <w:br/>
        <w:t xml:space="preserve">Source: Own elaboration with data from the file.  </w:t>
        <w:br/>
        <w:t xml:space="preserve">112 In particular, the monographic reports 2017, 2018, 2019, 2020, and 2021 on the food distribution sector in Catalonia (which collect information relating to December 31 of the year immediately prior to the corresponding report).  </w:t>
        <w:br/>
        <w:t>113 The information in the table has been prepared with the confidential data provided by the operators within the framework of the file: [confidential] (folio 901), [confidential] (folio 1213), [confidential] (folio 1208), [confidential] (folio 1048), [confidential] (905), [confidential] (folio 1053), [confidential] (folios 1101 to 1102), [confidential] (folio 1106) and [confidential] (folios 1123 to 1124).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