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https://www.cnmc.es/expedientes/s001519</w:t>
      </w:r>
    </w:p>
    <w:p>
      <w:r>
        <w:t>Pages translated : 13</w:t>
      </w:r>
    </w:p>
    <w:p/>
    <w:p>
      <w:r>
        <w:rPr>
          <w:b/>
        </w:rPr>
        <w:t>[Pages 1–3]</w:t>
      </w:r>
    </w:p>
    <w:p>
      <w:r>
        <w:t xml:space="preserve">RESOLUTION  </w:t>
        <w:br/>
        <w:t xml:space="preserve">Exp. S/0015/19 SOCIAL BONUS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Maria Pilar Canedo Arrillaga  </w:t>
        <w:br/>
        <w:t xml:space="preserve">Secretary of the Council  </w:t>
        <w:br/>
        <w:t xml:space="preserve">Mr. Joaquim Hortalà i Vallvé  </w:t>
        <w:br/>
        <w:t xml:space="preserve">In Madrid, on January 9, 2020  </w:t>
        <w:br/>
        <w:t xml:space="preserve">The Competition Chamber of the National Commission of Markets and Competition (CNMC), with the composition expressed, has issued the following resolution in the file S/0015/19, processed in response to the complaint filed by the Spanish Federation of Large Families (FEFN) regarding alleged practices and behaviors contrary to Law 15/2007, of July 3, on the Defense of Competition (LDC) by the reference electricity marketers (COR).  </w:t>
        <w:br/>
        <w:t xml:space="preserve">S/0015/19 SOCIAL BONUS National Commission of Markets and Competition Page 1 of 13  </w:t>
        <w:br/>
        <w:t xml:space="preserve">C/ Barquillo, 5 – 28004 Madrid - C/ Bolivia, 56 – 08018 Barcelona  </w:t>
        <w:br/>
        <w:t>www.cnmc.es</w:t>
      </w:r>
    </w:p>
    <w:p>
      <w:r>
        <w:t xml:space="preserve">INDEX  </w:t>
        <w:br/>
        <w:t xml:space="preserve">I. BACKGROUND FACTS ............................................................................................ 3  </w:t>
        <w:br/>
        <w:t xml:space="preserve">II. THE PARTIES ............................................................................................................. 4  </w:t>
        <w:br/>
        <w:t xml:space="preserve">1. SPANISH FEDERATION OF LARGE FAMILIES (complainant) ......................... 4  </w:t>
        <w:br/>
        <w:t xml:space="preserve">2. Reference Marketers (COR) .................................................................................. 4  </w:t>
        <w:br/>
        <w:t xml:space="preserve">III. AFFECTED MARKET .................................................................................................. 6  </w:t>
        <w:br/>
        <w:t xml:space="preserve">IV. REGULATORY FRAMEWORK .................................................................................. 8  </w:t>
        <w:br/>
        <w:t xml:space="preserve">V. REPORTED FACTS ..................................................................................................... 9  </w:t>
        <w:br/>
        <w:t xml:space="preserve">VI. LEGAL GROUNDS .................................................................................................... 10  </w:t>
        <w:br/>
        <w:t xml:space="preserve">FIRST. - Competence to resolve .................................................................................. 10  </w:t>
        <w:br/>
        <w:t xml:space="preserve">SECOND. - Object of the resolution and proposal of the instructing body ........... 11  </w:t>
        <w:br/>
        <w:t xml:space="preserve">THIRD. - Assessment of the Competition Chamber .................................................. 11  </w:t>
        <w:br/>
        <w:t xml:space="preserve">HAS RESOLVED ................................................................................................................ 13  </w:t>
        <w:br/>
        <w:t xml:space="preserve">S/0015/19 SOCIAL BONUS National Commission of Markets and Competition Page 2 of 13  </w:t>
        <w:br/>
        <w:t xml:space="preserve">C/ Barquillo, 5 – 28004 Madrid - C/ Bolivia, 56 – 08018 Barcelona  </w:t>
        <w:br/>
        <w:t>www.cnmc.es</w:t>
      </w:r>
    </w:p>
    <w:p>
      <w:r>
        <w:t xml:space="preserve">I. BACKGROUND FACTS  </w:t>
        <w:br/>
        <w:t xml:space="preserve">1. On February 18, 2019, a complaint was submitted to the National Commission of Markets and Competition (CNMC) by FEFN, alleging supposed anticompetitive practices by electricity marketers consisting of obstructing applications from large families to access the social bonus (pages 1 to 641 and 644 to 652).  </w:t>
        <w:br/>
        <w:t xml:space="preserve">2. On February 21, 2019, the Competition Directorate (DC) requested information from the Energy Directorate of the CNMC (DE) regarding complaints or claims submitted in relation to the social bonus (pages 642 to 643). The DE responded to the information request on March 5, 2019.  </w:t>
        <w:br/>
        <w:t xml:space="preserve">3. On March 19, 2019, information was requested from the General Subdirectorate of Electricity of the General Directorate of Energy Policy and Mines of the Ministry for Ecological Transition (DGPEM) regarding the number of discrepancies and claims received due to the denial of the social bonus (pages 659 to 662). The DGPEM responded to the information request on April 5, 2019 (pages 663 to 671), expanding and updating the information sent on May 16, 2019 (pages 672 to 677) and June 10, 2019 (pages 678 to 683).  </w:t>
        <w:br/>
        <w:t xml:space="preserve">4. On July 2, 2019, information was requested from FEFN to update the data provided (pages 684 to 687). FEFN responded to the information request on July 11, 2019 (pages 689 to 727).  </w:t>
        <w:br/>
        <w:t xml:space="preserve">5. On July 19, 2019, the DC sent information requests to the following marketers (pages 728 to 748):  </w:t>
        <w:br/>
        <w:t xml:space="preserve">- ENDESA ENERGÍA XXI S.L. (ENDESA XXI),  </w:t>
        <w:br/>
        <w:t xml:space="preserve">- IBERDROLA COMERCIALIZACIÓN DE ÚLTIMO RECURSO S.A.U. (currently, CURENERGIA COMERCIALIZACIÓN DE ÚLTIMO RECURSO, hereinafter CURENERGIA) and  </w:t>
        <w:br/>
        <w:t xml:space="preserve">- VIESGO COMERCIALIZADORA DE REFERENCIA S.L. (currently RÉGSITI COMERCIALIZADORA REGULADA S.L.U., hereinafter RÉGSITI).  </w:t>
        <w:br/>
        <w:t xml:space="preserve">CURENERGIA, ENDESA XXI, and RÉGSITI responded to the information request on August 5, 6, and 9, 2019, respectively (pages 812 to 882).  </w:t>
        <w:br/>
        <w:t xml:space="preserve">S/0015/19 SOCIAL BONUS National Commission of Markets and Competition Page 3 of 13  </w:t>
        <w:br/>
        <w:t xml:space="preserve">C/ Barquillo, 5 – 28004 Madrid - C/ Bolivia, 56 – 08018 Barcelona  </w:t>
        <w:br/>
        <w:t>www.cnmc.es</w:t>
      </w:r>
    </w:p>
    <w:p>
      <w:r>
        <w:rPr>
          <w:b/>
        </w:rPr>
        <w:t>[Pages 4–6]</w:t>
      </w:r>
    </w:p>
    <w:p>
      <w:r>
        <w:t>6. On September 24, 2019, the Competition Directorate of the CNMC proposed the non-initiation of the sanctioning procedure and the filing of the proceedings, in accordance with Article 49.3 of the LDC. It also proposed the referral of the results of these proceedings to the DE and DGPEM.</w:t>
      </w:r>
    </w:p>
    <w:p>
      <w:r>
        <w:t>7. The Competition Chamber of the CNMC Council deliberated and ruled on the matter in its meeting of January 9, 2020.</w:t>
      </w:r>
    </w:p>
    <w:p>
      <w:r>
        <w:t>II. THE PARTIES</w:t>
      </w:r>
    </w:p>
    <w:p>
      <w:r>
        <w:t>The following operators are parties to this file:</w:t>
      </w:r>
    </w:p>
    <w:p>
      <w:r>
        <w:t>1. SPANISH FEDERATION OF LARGE FAMILIES (complainant)</w:t>
      </w:r>
    </w:p>
    <w:p>
      <w:r>
        <w:t>The Spanish Federation of Large Families (FEFN) is a non-profit, independent, and non-confessional entity that represents and defends the interests of large families. The FEFN is made up of more than 80 local, provincial, and regional associations that work in each Autonomous Community, with the common goal of asserting and defending the rights of large families.</w:t>
      </w:r>
    </w:p>
    <w:p>
      <w:r>
        <w:t>2. Reference Retailers (COR)</w:t>
      </w:r>
    </w:p>
    <w:p>
      <w:r>
        <w:t>The complaint is generally directed against the COR for having impeded or slowed down access to the electricity social bonus, although according to the data provided by the complainant, most of the claims have been filed against the COR of IBERDROLA (CURENERGIA).</w:t>
      </w:r>
    </w:p>
    <w:p>
      <w:r>
        <w:t>The reference marketer is one that has a series of supply obligations. It is obliged to supply consumers of a certain size at a maximum price, called the voluntary price for small consumers (up to 2014, last resort tariff), and to supply those consumers who are left without a contract or come from disqualified marketers. It is also obliged to apply the social bonus to those consumers who prove compliance with a series of social and economic requirements.</w:t>
      </w:r>
    </w:p>
    <w:p>
      <w:r>
        <w:t>According to Article 6.1, letter f), of Law 24/2013, of December 26, on the Electricity Sector (hereinafter, LSE) "The marketers, which are those commercial companies, or cooperative societies of consumers and users, that, by accessing the transport or distribution networks, acquire energy for sale to consumers, to other subjects of the system, or to carry out international exchange operations under the terms established in this law. The procedure and requirements to be a reference marketer will be established by regulation."</w:t>
      </w:r>
    </w:p>
    <w:p>
      <w:r>
        <w:t>In this regard, Royal Decree 216/2014, of March 28, which establishes the methodology for calculating voluntary prices for small electricity consumers and their legal contracting regime, determines in its Article 3 which operators will have the status of COR, as well as the necessary requirements for marketing companies:</w:t>
      </w:r>
    </w:p>
    <w:p>
      <w:r>
        <w:t>"the marketers that are designated for this purpose by being integrated into business groups, as defined in Article 42 of the Commercial Code, that have supplied in Spanish territory to more than 100,000 customers on average in the last twelve months.</w:t>
      </w:r>
    </w:p>
    <w:p>
      <w:r>
        <w:t>In the case of the Cities of Ceuta and Melilla, the number of electricity supply customers must exceed 25,000 on average in the last twelve months, and the obligation may only extend to the territory of the respective autonomous city.</w:t>
      </w:r>
    </w:p>
    <w:p>
      <w:r>
        <w:t>[…] The companies marketing electricity that meet the following requirements may be reference marketers throughout Spanish territory:</w:t>
        <w:br/>
        <w:t>a) Have a minimum share capital of 500,000 euros.</w:t>
        <w:br/>
        <w:t>b) Have carried out the activity of marketing electricity for supply to consumers for the last three years, having maintained uninterruptedly during this time compliance with the legal, technical, and economic capacity requirements established in Title V of Royal Decree 1955/2000, of December 1, which regulates the activities of transport, distribution, marketing, supply, and authorization procedures for electricity installations.</w:t>
      </w:r>
    </w:p>
    <w:p>
      <w:r>
        <w:t>In particular, marketing companies must prove that they have fulfilled the obligation to acquire the necessary energy for the development of their activities, established in Article 46.1 c) of Law 24/2013, of December 26, on the Electricity Sector.</w:t>
        <w:br/>
        <w:t>c) Not have been disqualified from exercising the marketing activity in the last three years nor have been sanctioned for committing a serious or very serious administrative infraction in the field of electricity marketing by a firm resolution in the administrative route, in the last year or in the last three years respectively, nor belong to any business group or linked companies that have been disqualified.</w:t>
        <w:br/>
        <w:t>d) Not have had their customers transferred in the last three years by firm resolution in the administrative route, nor belong to any business group or linked companies that, having exercised the marketing activity, have had their customers transferred.</w:t>
        <w:br/>
        <w:t>e) Have a minimum number of 25,000 customers on average in the last twelve months in Spanish territory.</w:t>
      </w:r>
    </w:p>
    <w:p>
      <w:r>
        <w:t>Currently, there are eight COR with supply obligations to consumers in the Spanish market:</w:t>
        <w:br/>
        <w:t>- ENDESA ENERGÍA XXI S.L.,</w:t>
        <w:br/>
        <w:t>- CURENERGIA COMERCIALIZACIÓN DE ÚLTIMO RECURSO, S.A.U.,</w:t>
        <w:br/>
        <w:t>- REGSITI COMERCIALIZADORA REGULADA S.L,</w:t>
        <w:br/>
        <w:t>- EDP COMERCIALIZADORA DE ÚLTIMO RECURSO S.A.</w:t>
        <w:br/>
        <w:t>- TERAMELCOR S.L.,</w:t>
        <w:br/>
        <w:t>- CHC COMERCIALIZADORA DE REFERENCIA S.L.U.,</w:t>
        <w:br/>
        <w:t>- EMPRESA DE ALUMBRADO ELÉCTRICO DE CEUTA COMERCIALIZACIÓN DE REFERENCIA S.A. and</w:t>
        <w:br/>
        <w:t>- COMERCIALIZADORA REGULADA GAS &amp; POWER S.A.</w:t>
      </w:r>
    </w:p>
    <w:p>
      <w:r>
        <w:t>III. AFFECTED MARKET</w:t>
      </w:r>
    </w:p>
    <w:p>
      <w:r>
        <w:t>The reported practice takes place in the retail supply market of electricity to domestic customers at the national level. In particular, it affects those domestic customers eligible for the electricity social bonus.</w:t>
      </w:r>
    </w:p>
    <w:p>
      <w:r>
        <w:t>1. Product market</w:t>
      </w:r>
    </w:p>
    <w:p>
      <w:r>
        <w:t>The most recent national and community precedents have opted to differentiate supply markets by customer type, taking into account differences in consumption volumes, demand patterns, types of contracts, commercial relationships, commercial margins, etc. Thus, a distinction has been made between supply to large customers or industrial customers (which is akin to supply at high voltage) and supply to residential customers and SMEs (which is akin to supply at low voltage).</w:t>
      </w:r>
    </w:p>
    <w:p>
      <w:r>
        <w:rPr>
          <w:b/>
        </w:rPr>
        <w:t>[Pages 7–9]</w:t>
      </w:r>
    </w:p>
    <w:p>
      <w:r>
        <w:t>the coexistence of regulated and free price supply, as alternative options for consumers who meet the established eligibility conditions, and the fact that the supply of electricity at free and regulated prices is provided by marketing companies that belong to the same business group, has justified in many of the cases analyzed by European and Spanish competition authorities the consideration of them as part of a single relevant product market4.</w:t>
      </w:r>
    </w:p>
    <w:p>
      <w:r>
        <w:t>However, in other national precedents5, the supply to low voltage consumers with contracted power of less than or equal to 10 kW has been analyzed due to the specific characteristics of the regulation. These characteristics are identified with the supply of electricity to consumers who may have regulated supply conditions and a regulated final supply price (Voluntary Price for the Small Consumer —PVPC-), alternatively to the supply offers from marketers in the free market.</w:t>
      </w:r>
    </w:p>
    <w:p>
      <w:r>
        <w:t>This market segment primarily affects residential consumers, for whom electricity is used for lighting, heating, operation of appliances, and other devices. Their consumption is lower than that of commercial and industrial consumers and, in general, they do not dedicate significant resources to seeking information and comparing commercial offers to change suppliers6.</w:t>
      </w:r>
    </w:p>
    <w:p>
      <w:r>
        <w:t>For their part, among those consumers who have contracted the PVPC, those who meet the requirements established in Royal Decree 897/2017, of October 6, which regulates the figure of the vulnerable consumer, the social bonus, and other protective measures for domestic electricity consumers (Royal Decree 897/2017) have the possibility of benefiting from the social bonus, which represents a discount on the PVPC bill7. It is in this segment where the alleged anticompetitive practices reported would occur.</w:t>
      </w:r>
    </w:p>
    <w:p>
      <w:r>
        <w:t>According to the above, the affected product market for the purposes of the file includes the retail supply of electricity to domestic customers eligible for the electricity social bonus.</w:t>
      </w:r>
    </w:p>
    <w:p>
      <w:r>
        <w:t>2. Geographic market</w:t>
      </w:r>
    </w:p>
    <w:p>
      <w:r>
        <w:t>Both at the community and national level, it has been considered that these markets have a national geographic dimension, insofar as the different suppliers establish their competitive strategies and offer their services at a national level8.</w:t>
      </w:r>
    </w:p>
    <w:p>
      <w:r>
        <w:t>IV. REGULATORY FRAMEWORK</w:t>
      </w:r>
    </w:p>
    <w:p>
      <w:r>
        <w:t>The concept of a vulnerable consumer entitled to benefit from the social bonus has been modified by the approval of Royal Decree 897/2017. Previously, the tenth transitional provision of the LSE already established that large families could benefit from the social bonus. Royal Decree 897/2017 establishes an income criterion that has replaced the contracted power criterion, but maintains the provision for large families.</w:t>
      </w:r>
    </w:p>
    <w:p>
      <w:r>
        <w:t>The first transitional provision of Royal Decree 897/2017 provides a period of six months for the change of model starting from the approval of the ministerial order that develops the application procedure. During the transitional period, beneficiaries of the social bonus could request their continuity according to the new requirements while continuing to benefit under their previous conditions.</w:t>
      </w:r>
    </w:p>
    <w:p>
      <w:r>
        <w:t>Those who were benefiting from the social bonus but did not meet the new requirements or did not request its application would exceptionally maintain the social bonus during that transitional period of six months and would cease to enjoy it upon its expiration.</w:t>
      </w:r>
    </w:p>
    <w:p>
      <w:r>
        <w:t>On October 9, 2017, Order ETU/943/2017, of October 6, was published, which developed Royal Decree 897/2017 and began the six-month period, which was to expire on April 10, 2018. However, four days before the transitional period expired, the (then) Ministry of Energy, Tourism and Digital Agenda approved Order ETU/361/2018, of April 6, which extended the transitional period until October 8, 2018.</w:t>
      </w:r>
    </w:p>
    <w:p>
      <w:r>
        <w:t>Royal Decree-Law 15/2018, of October 5, on urgent measures for the energy transition and consumer protection (hereinafter, Royal Decree-Law 15/2018) modifies the LSE, Royal Decree 897/2017, and Order ETU/943/2017 and introduces new sanctioning types in relation to the imposition of conditions, difficulties, or delays in the processing of the social bonus and prohibits the cut-off of supply in certain households benefiting from the social bonus.</w:t>
      </w:r>
    </w:p>
    <w:p>
      <w:r>
        <w:t>According to data from the DE, the number of beneficiaries of the social bonus has been reduced due to the change to the income criterion through Royal Decree 897/2017. In January 2018, there were a total of 1,658,916 beneficiaries of the social bonus.</w:t>
      </w:r>
    </w:p>
    <w:p>
      <w:r>
        <w:t>V. REPORTED FACTS</w:t>
      </w:r>
    </w:p>
    <w:p>
      <w:r>
        <w:t>1- Denial and difficulties in the processing of the social bonus for large families.</w:t>
      </w:r>
    </w:p>
    <w:p>
      <w:r>
        <w:t xml:space="preserve">(1) According to the complaint, the reference marketers would be hindering access to the social bonus for large families during 2018 through various means: </w:t>
        <w:br/>
        <w:t xml:space="preserve">- Requiring that all children be registered at the same address. </w:t>
        <w:br/>
        <w:t xml:space="preserve">- Denying access to the social bonus to families whose children have exited the large family title upon turning 26 years old but continue to live at their parents' home. In these cases, they are listed on the registration certificate of the contract holder but not on the large family title. The denial occurs in this case due to lack of consistency. </w:t>
        <w:br/>
        <w:t xml:space="preserve">- Repeated denials without justifying the denial of the bonus. It is alleged "closed due to inappropriate result" or "lack of documentation of registration certificate with all members of the family unit." The CORs claim that this is the response provided by the Ministry of Ecological Transition. </w:t>
        <w:br/>
        <w:t>- Repeated requests for the submission of all or part of the corresponding documentation.</w:t>
      </w:r>
    </w:p>
    <w:p>
      <w:r>
        <w:t>(2) These practices would have caused harm to consumers by suffering delays, setbacks, or difficulties that harm them economically due to the lack of application of the discounts corresponding to the social bonus from the first application or retroactively.</w:t>
      </w:r>
    </w:p>
    <w:p>
      <w:r>
        <w:rPr>
          <w:b/>
        </w:rPr>
        <w:t>[Pages 10–12]</w:t>
      </w:r>
    </w:p>
    <w:p>
      <w:r>
        <w:t>considered particularly serious in the case of vulnerable consumers, even more so in those cases of severely vulnerable consumers.</w:t>
      </w:r>
    </w:p>
    <w:p>
      <w:r>
        <w:t>(3) Of the cases referred by the FEFN, as of March 6, 2019, 114 out of a total of 258 analyzed cases identified the COR as responsible for the incident.</w:t>
      </w:r>
    </w:p>
    <w:p>
      <w:r>
        <w:t>(4) In the update provided by the FEFN on July 11, 2019, the number of complaints rose to 362, of which 62 had been resolved as of July 30, 2019 (folio 699).</w:t>
      </w:r>
    </w:p>
    <w:p>
      <w:r>
        <w:t>(5) In relation to each of the COR (folio 699):</w:t>
        <w:br/>
        <w:t>ENDESA</w:t>
        <w:br/>
        <w:t>CURENERGIA NATURGY EDP REGSITI</w:t>
        <w:br/>
        <w:t>XXI</w:t>
        <w:br/>
        <w:t>Total Identified Cases 84 21 22 4 4</w:t>
        <w:br/>
        <w:t>No response or repeated submission of</w:t>
        <w:br/>
        <w:t>51 8 9 - -</w:t>
        <w:br/>
        <w:t>documentation</w:t>
        <w:br/>
        <w:t>Recurring request for previously</w:t>
        <w:br/>
        <w:t>20 6 6 - -</w:t>
        <w:br/>
        <w:t>submitted documentation</w:t>
        <w:br/>
        <w:t>Lack of registration of all members of the</w:t>
        <w:br/>
        <w:t>4 3 5 - -</w:t>
        <w:br/>
        <w:t>household</w:t>
        <w:br/>
        <w:t>Request for ID from minors under 14</w:t>
        <w:br/>
        <w:t>5 2 1 - -</w:t>
        <w:br/>
        <w:t>years</w:t>
        <w:br/>
        <w:t>Denial for exceeding income 1 - - - -</w:t>
        <w:br/>
        <w:t>Social bonus not applied retroactively</w:t>
        <w:br/>
        <w:t>3 2 1 - -</w:t>
      </w:r>
    </w:p>
    <w:p>
      <w:r>
        <w:t>(6) According to the information provided by FEFN, 246 complaints are managed by the association in Madrid, so it is unknown whether they have been resolved or not. However, the FEFN indicates that the companies they have contacted have expressed their willingness to cooperate.</w:t>
      </w:r>
    </w:p>
    <w:p>
      <w:r>
        <w:t>VI. LEGAL GROUNDS</w:t>
      </w:r>
    </w:p>
    <w:p>
      <w:r>
        <w:t>FIRST. - Competence to resolve</w:t>
      </w:r>
    </w:p>
    <w:p>
      <w:r>
        <w:t>According to Article 5.1.c) of Law 3/2013, of June 4, establishing the National Commission of Markets and Competition, the CNMC is responsible for "applying the provisions of Law 15/2007, of July 3, regarding behaviors that prevent, restrict, and distort competition." Article 20.2 of the same law assigns the Council the function of "resolving the sanctioning procedures provided for in Law 15/2007, of July 3."</w:t>
      </w:r>
    </w:p>
    <w:p>
      <w:r>
        <w:t>Furthermore, Article 14.1.a) of the Organic Statute of the CNMC, approved by Royal Decree 657/2013, of August 30, establishes that "The Competition Chamber will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w:t>
      </w:r>
    </w:p>
    <w:p>
      <w:r>
        <w:t>SECOND. - Object of the resolution and proposal of the instructing body</w:t>
      </w:r>
    </w:p>
    <w:p>
      <w:r>
        <w:t>This Chamber must assess in the present resolution whether the requirements for the application of Article 49.3 of the LDC are met, that is, the absence of indications of infringement to agree not to initiate the sanctioning procedure and to archive the actions carried out so far.</w:t>
      </w:r>
    </w:p>
    <w:p>
      <w:r>
        <w:t>It is therefore necessary to assess the absence of indications of the conduct of the COR, as proposed by the Competition Directorate, or whether, on the contrary, in said actions there could be indications of infringement of Article 3 of the LDC, which would motivate the initiation of the sanctioning file.</w:t>
      </w:r>
    </w:p>
    <w:p>
      <w:r>
        <w:t>On the other hand, Article 27.1 of the Competition Defense Regulation (RDC), approved by Royal Decree 261/2008, of February 22, stipulates that: "1. In order for the Council of the National Competition Commission [current CNMC] to agree not to initiate a procedure and archive the actions in the terms established in Articles 44 and 49.3 of Law 15/2007, of July 3, the Investigation Directorate [current Competition Directorate] will forward the received complaint, the prior actions carried out, if applicable, and a proposal for archiving."</w:t>
      </w:r>
    </w:p>
    <w:p>
      <w:r>
        <w:t>In the archiving proposal of September 24, 2019, the DC proposed to this Chamber, firstly, the non-initiation of the sanctioning procedure and the archiving of the actions, in accordance with the provisions of Article 49.3 of the LDC, as it considers that, in relation to the reported facts, there are no indications of infringement of the LDC. Secondly, it proposes the referral of the results of the present actions to the DE and to the DGPEM for the appropriate effects in relation to the provisions of Article 65 of the LSE.</w:t>
      </w:r>
    </w:p>
    <w:p>
      <w:r>
        <w:t>THIRD. - Assessment of the Competition Chamber</w:t>
      </w:r>
    </w:p>
    <w:p>
      <w:r>
        <w:t>The complaint refers to the fact that the reported practices could be classified as a prohibited conduct under Article 3 of the LDC.</w:t>
      </w:r>
    </w:p>
    <w:p>
      <w:r>
        <w:t>Article 3 of the LDC establishes that "The National Competition Commission or the competent bodies of the Autonomous Communities will know in the terms that this Law establishes for prohibited conduct, of acts of unfair competition that, by distorting free competition, affect the public interest."</w:t>
      </w:r>
    </w:p>
    <w:p>
      <w:r>
        <w:t>The prohibition of Article 3 of the LDC requires the concurrence of two requirements:</w:t>
        <w:br/>
        <w:t>- that there is an act of unfair competition typified in Law 3/1991, of January 10, on Unfair Competition (hereinafter, LCD),</w:t>
        <w:br/>
        <w:t>- and that such act affects the public interest by distorting competition in the market.</w:t>
      </w:r>
    </w:p>
    <w:p>
      <w:r>
        <w:t>Firstly, it should be noted that, according to Article 86 ter of Organic Law 6/1985, of July 1, of the Judiciary (LOPJ), the Commercial Courts have jurisdiction to hear claims in which actions related to unfair competition are exercised. This Chamber is only authorized to sanction conduct deemed unfair when it distorts competition and affects the public interest.</w:t>
      </w:r>
    </w:p>
    <w:p>
      <w:r>
        <w:t>In this sense, the market subject to the complaint is particularly sensitive, and resolutions of this Chamber have recognized that the essential service status of electricity supply, which is of great relevance to the consumer, as it is a basic necessity service, and the position and characteristics of the companies reported are relevant factors to demonstrate the impact on the public interest due to distortion of competition in this sector. Furthermore, the practices reported in this file affect consumers entitled to the electricity social bonus, who are especially protected by sectoral legislation.</w:t>
      </w:r>
    </w:p>
    <w:p>
      <w:r>
        <w:t>However, 362 complaints have been substantiated, some of which have been favorably resolved by the COR themselves, out of a total of 325,032 social bonus applications processed favorably in its aspect of large families up to May 2019.</w:t>
      </w:r>
    </w:p>
    <w:p>
      <w:r>
        <w:t>Considering the number of complaints in relation to the total of favorable processing, it is not appreciated that the alleged conducts have sufficient substance to distort the proper functioning of the market, affecting the public interest.</w:t>
      </w:r>
    </w:p>
    <w:p>
      <w:r>
        <w:t>9 See Resolution of the CNMC Council, of June 20, 2019, in file S/DC/0552/15 AGIC</w:t>
      </w:r>
    </w:p>
    <w:p>
      <w:r>
        <w:t>10 In May 2018, the number of large families receiving the social bonus was 302,385 families. The data is provided by DGPEM (folio 683)</w:t>
      </w:r>
    </w:p>
    <w:p>
      <w:r>
        <w:rPr>
          <w:b/>
        </w:rPr>
        <w:t>[Pages 13–13]</w:t>
      </w:r>
    </w:p>
    <w:p>
      <w:r>
        <w:t>Likewise, the LSE, following the amendment made by Royal Decree-Law 15/2018, classifies as an infringement behaviors related to delays in processing or unjustified denial in the application of the social bonus.</w:t>
      </w:r>
    </w:p>
    <w:p>
      <w:r>
        <w:t>This Chamber appreciates that the social bonus, in accordance with the preamble and Article 45 of the LSE, is configured as a public service obligation. Therefore, the direct objective of its regulatory norms, among them, Article 8.1 of Royal Decree 897/2017 and the sanctioning regime of the LSE, is not to directly configure and shape the competitive structure of the market but to integrate a public-social purpose. Thus, in the present case, from the alleged violation of the sectoral regulations governing the social bonus, no impact on the competitive activity of the sector could be derived.</w:t>
      </w:r>
    </w:p>
    <w:p>
      <w:r>
        <w:t>In virtue of this, having regard to the cited provisions and the others of general application, the Competition Chamber</w:t>
      </w:r>
    </w:p>
    <w:p>
      <w:r>
        <w:t>HAS RESOLVED</w:t>
      </w:r>
    </w:p>
    <w:p>
      <w:r>
        <w:t>SOLE.- Not to initiate sanctioning proceedings and to agree to the filing of the actions taken as a result of the complaint filed, considering that there are no indications of infringement of the LDC in this file.</w:t>
      </w:r>
    </w:p>
    <w:p>
      <w:r>
        <w:t>Communicate this resolution to the Competition Directorate and to the Energy Directorate and notify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