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https://www.cnmc.es/expedientes/s001521</w:t>
      </w:r>
    </w:p>
    <w:p>
      <w:r>
        <w:t>Pages translated : 10</w:t>
      </w:r>
    </w:p>
    <w:p/>
    <w:p>
      <w:r>
        <w:rPr>
          <w:b/>
        </w:rPr>
        <w:t>[Pages 1–3]</w:t>
      </w:r>
    </w:p>
    <w:p>
      <w:r>
        <w:t xml:space="preserve">S/0015/21  </w:t>
        <w:br/>
        <w:t xml:space="preserve">GAMING MACHINES  </w:t>
        <w:br/>
        <w:t xml:space="preserve">RESOLUTION  </w:t>
        <w:br/>
        <w:t xml:space="preserve">FILE GAMING MACHINES  </w:t>
        <w:br/>
        <w:t xml:space="preserve">S/0015/21  </w:t>
        <w:br/>
        <w:t xml:space="preserve">COUNCIL. 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García-Ovies  </w:t>
        <w:br/>
        <w:t xml:space="preserve">In Madrid, on September 7, 2022  </w:t>
        <w:br/>
        <w:t xml:space="preserve">The Competition Chamber of the Council of the National Commission of Markets and Competition (CNMC) with the composition expressed, has issued the following resolution in the referenced file processed by the Directorate of Competition (DC) following a complaint against several gaming machine operating companies and two associations in the sector, for alleged conduct prohibited by Article 1 of Law 15/2007, of July 3, on the Defense of Competition (LDC).  </w:t>
        <w:br/>
        <w:t xml:space="preserve">National Commission of Markets and Competition 1 of 10  </w:t>
        <w:br/>
        <w:t xml:space="preserve">C/ Alcalá, 47 – 28014 Madrid - C/ Bolivia, 56 – 08018 Barcelona  </w:t>
        <w:br/>
        <w:t>www.cnmc.es</w:t>
      </w:r>
    </w:p>
    <w:p>
      <w:r>
        <w:t xml:space="preserve">S/0015/21  </w:t>
        <w:br/>
        <w:t xml:space="preserve">GAMING MACHINES  </w:t>
        <w:br/>
        <w:t xml:space="preserve">TABLE OF CONTENTS  </w:t>
        <w:br/>
        <w:t xml:space="preserve">I. BACKGROUND .......................................................................................... 3  </w:t>
        <w:br/>
        <w:t xml:space="preserve">II. CONTENT OF THE COMPLAINT .............................................................. 4  </w:t>
        <w:br/>
        <w:t xml:space="preserve">III. THE PARTIES ............................................................................................ 4  </w:t>
        <w:br/>
        <w:t xml:space="preserve">III.1. INDEPENDENT ASSOCIATION OF OPERATING COMPANIES  </w:t>
        <w:br/>
        <w:t xml:space="preserve">OF RECREATIONAL MACHINES OF CATALONIA (EUROPER) .................. 4  </w:t>
        <w:br/>
        <w:t xml:space="preserve">III.2. RECREATIVOS ELECTRÓNICOS PRIS, S.A. (REPRIS) .......................... 4  </w:t>
        <w:br/>
        <w:t xml:space="preserve">III.3. GALICIAN ASSOCIATION OF OPERATING COMPANIES (AGEO) ........ 5  </w:t>
        <w:br/>
        <w:t xml:space="preserve">III.4. COMATEL INTERNACIONAL, S.L. (COMATEL) ..................................... 5  </w:t>
        <w:br/>
        <w:t xml:space="preserve">III.5. LUCKIA GAMING GROUP, S.A. (LUCKIA) ................................................ 5  </w:t>
        <w:br/>
        <w:t xml:space="preserve">IV. MARKET CHARACTERIZATION ................................................................ 5  </w:t>
        <w:br/>
        <w:t xml:space="preserve">V. FACTS ...................................................................................................... 6  </w:t>
        <w:br/>
        <w:t xml:space="preserve">VI. LEGAL GROUNDS .................................................................................... 8  </w:t>
        <w:br/>
        <w:t xml:space="preserve">VI.1. [FIRST] Competence to resolve, proposal of the instructing body and object of the resolution .............................................................. 8  </w:t>
        <w:br/>
        <w:t xml:space="preserve">VI.2. [SECOND] Assessment of the Competition Chamber ............................... 9  </w:t>
        <w:br/>
        <w:t xml:space="preserve">VII. RESOLVES ................................................................................................ 10  </w:t>
        <w:br/>
        <w:t xml:space="preserve">National Commission of Markets and Competition 2 of 10  </w:t>
        <w:br/>
        <w:t xml:space="preserve">C/ Alcalá, 47 – 28014 Madrid - C/ Bolivia, 56 – 08018 Barcelona  </w:t>
        <w:br/>
        <w:t>www.cnmc.es</w:t>
      </w:r>
    </w:p>
    <w:p>
      <w:r>
        <w:t xml:space="preserve">S/0015/21  </w:t>
        <w:br/>
        <w:t xml:space="preserve">GAMING MACHINES  </w:t>
        <w:br/>
        <w:t xml:space="preserve">I. BACKGROUND  </w:t>
        <w:br/>
        <w:t xml:space="preserve">(1) On April 21, 2020, a document was submitted to the CNMC reporting alleged conduct prohibited by Article 1 of the LDC that would have been carried out by several companies owning gaming machines, consisting of setting certain commercial conditions for the hospitality establishments where the machines are commercially operated. This would involve agreeing to pass on to the hospitality operators the losses anticipated by the machine owners as a result of the COVID-19 pandemic (folios 1 to 45).  </w:t>
        <w:br/>
        <w:t xml:space="preserve">(2) In order to preliminarily determine the existence of circumstances justifying the initiation of a sanctioning file, the DC initiated a reserved inquiry in accordance with Article 49.2 of the LDC.  </w:t>
        <w:br/>
        <w:t xml:space="preserve">In the framework of this reserved inquiry, the DC made the following requests for information:  </w:t>
        <w:br/>
        <w:t xml:space="preserve">Table 1. Requests for information to the complainant  </w:t>
        <w:br/>
        <w:t xml:space="preserve">Date Folios Response to the request  </w:t>
        <w:br/>
        <w:t xml:space="preserve">No response. The complainant accessed the notification, therefore it is considered  </w:t>
        <w:br/>
        <w:t xml:space="preserve">25/05/2020 46 to 51  </w:t>
        <w:br/>
        <w:t xml:space="preserve">made.  </w:t>
        <w:br/>
        <w:t xml:space="preserve">No response. The complainant did not access the content of the notification  </w:t>
        <w:br/>
        <w:t xml:space="preserve">03/09/2020  </w:t>
        <w:br/>
        <w:t xml:space="preserve">52 to 55 within the 10 calendar days following its availability, therefore it is  </w:t>
        <w:br/>
        <w:t xml:space="preserve">(reiteration)  </w:t>
        <w:br/>
        <w:t xml:space="preserve">understood as rejected.  </w:t>
        <w:br/>
        <w:t xml:space="preserve">Table 2. Requests for information to the entities reported  </w:t>
        <w:br/>
        <w:t xml:space="preserve">Date Entity requested Folios Date of Folios  </w:t>
        <w:br/>
        <w:t xml:space="preserve">response  </w:t>
        <w:br/>
        <w:t xml:space="preserve">GALICIAN ASSOCIATION OF OPERATING  </w:t>
        <w:br/>
        <w:t xml:space="preserve">23/03/2021 59 to 80 21/04/2021 272 to 314  </w:t>
        <w:br/>
        <w:t xml:space="preserve">COMPANIES (AGEO)  </w:t>
        <w:br/>
        <w:t xml:space="preserve">INDEPENDENT ASSOCIATION OF  </w:t>
        <w:br/>
        <w:t xml:space="preserve">23/03/2021 OPERATING COMPANIES OF RECREATIONAL 81 to 102 08/04/2021 208 to 231  </w:t>
        <w:br/>
        <w:t xml:space="preserve">MACHINES OF CATALONIA (EUROPER)  </w:t>
        <w:br/>
        <w:t xml:space="preserve">COMATEL INTERNACIONAL, S.L.  </w:t>
        <w:br/>
        <w:t xml:space="preserve">23/03/2021 103 to 124 01/04/2021 169 to 174  </w:t>
        <w:br/>
        <w:t xml:space="preserve">(COMATEL)  </w:t>
        <w:br/>
        <w:t xml:space="preserve">RECREATIVOS ELECTRÓNICOS PRIS, S.A.  </w:t>
        <w:br/>
        <w:t xml:space="preserve">23/03/2021 125 to 146 08/04/2021 185 to 194  </w:t>
        <w:br/>
        <w:t xml:space="preserve">(REPRIS)  </w:t>
        <w:br/>
        <w:t xml:space="preserve">23/03/2021 LUCKIA GAMING GROUP, S.A. (LUCKIA) 147 to 168 09/04/2021 247 to 256  </w:t>
        <w:br/>
        <w:t xml:space="preserve">(3) On June 18, 2021, information about the reported entities obtained from public sources was incorporated into the file (folios 315 to 401).  </w:t>
        <w:br/>
        <w:t xml:space="preserve">(4) On July 8, 2021, the DC submitted to the Council of the CNMC a proposal for non-initiation and filing of the proceedings (folios 403 to 419).  </w:t>
        <w:br/>
        <w:t xml:space="preserve">National Commission of Markets and Competition 3 of 10  </w:t>
        <w:br/>
        <w:t xml:space="preserve">C/ Alcalá, 47 – 28014 Madrid - C/ Bolivia, 56 – 08018 Barcelona  </w:t>
        <w:br/>
        <w:t>www.cnmc.es</w:t>
      </w:r>
    </w:p>
    <w:p>
      <w:r>
        <w:rPr>
          <w:b/>
        </w:rPr>
        <w:t>[Pages 4–6]</w:t>
      </w:r>
    </w:p>
    <w:p>
      <w:r>
        <w:t xml:space="preserve">S/0015/21  </w:t>
        <w:br/>
        <w:t xml:space="preserve">GAMING MACHINES  </w:t>
        <w:br/>
        <w:t>(5) The Competition Chamber of the CNMC Council deliberated and ruled on the matter in its meeting on September 7, 2022.</w:t>
      </w:r>
    </w:p>
    <w:p>
      <w:r>
        <w:t xml:space="preserve">II. CONTENT OF THE COMPLAINT  </w:t>
        <w:br/>
        <w:t xml:space="preserve">(6) The complainant asserts that several gaming machine operating companies have set commercial conditions that they will all apply in contracts with hospitality establishments where their machines are commercially operated, and that this would contravene Article 1 of the LDC. The complaint indicates that during a virtual seminar organized by an association of recreational machine operating companies in Catalonia (EUROPER), it was agreed that the companies would pass on to the hospitality establishments the losses anticipated for the sector as a consequence of the COVID-19 pandemic.  </w:t>
        <w:br/>
        <w:t>(7) It is also reported that years ago a similar action was carried out through a Galician association (AGEO), consisting of passing on to the hospitality establishments the payment of the fee that was to be paid by the operating companies. It is stated that access to recreational machines would have been denied to the hospitality establishments until they assumed the payment of said fee.</w:t>
      </w:r>
    </w:p>
    <w:p>
      <w:r>
        <w:t xml:space="preserve">III. THE PARTIES  </w:t>
        <w:br/>
        <w:t xml:space="preserve">III.1. INDEPENDENT ASSOCIATION OF OPERATING COMPANIES OF RECREATIONAL MACHINES OF CATALONIA (EUROPER)  </w:t>
        <w:br/>
        <w:t>(8) EUROPER is a non-profit business association based in Barcelona. It is made up of about 60 small and medium-sized companies that hold the title of operating company of recreational and gaming machines1.</w:t>
      </w:r>
    </w:p>
    <w:p>
      <w:r>
        <w:t xml:space="preserve">III.2. RECREATIVOS ELECTRÓNICOS PRIS, S.A. (REPRIS)  </w:t>
        <w:br/>
        <w:t>(9) REPRIS is a commercial company with its registered office in Barcelona that maintains and operates recreational machines in hospitality venues in the Autonomous Communities of Catalonia and Valencia and also has gaming halls in this territory2.</w:t>
      </w:r>
    </w:p>
    <w:p>
      <w:r>
        <w:t xml:space="preserve">1 Folio 211.  </w:t>
        <w:br/>
        <w:t>2 Folio 188.</w:t>
      </w:r>
    </w:p>
    <w:p>
      <w:r>
        <w:t xml:space="preserve">Comisión Nacional de los Mercados y la Competencia 4 de 10  </w:t>
        <w:br/>
        <w:t xml:space="preserve">C/ Alcalá, 47 – 28014 Madrid - C/ Bolivia, 56 – 08018 Barcelona  </w:t>
        <w:br/>
        <w:t>www.cnmc.es</w:t>
      </w:r>
    </w:p>
    <w:p>
      <w:r>
        <w:t xml:space="preserve">S/0015/21  </w:t>
        <w:br/>
        <w:t xml:space="preserve">GAMING MACHINES  </w:t>
        <w:br/>
        <w:t xml:space="preserve">III.3. GALICIAN ASSOCIATION OF OPERATING COMPANIES (AGEO)  </w:t>
        <w:br/>
        <w:t>(10) AGEO is based in La Coruña and includes most of the recreational and gaming machine companies in Galicia. It has about 50 members3.</w:t>
      </w:r>
    </w:p>
    <w:p>
      <w:r>
        <w:t xml:space="preserve">III.4. COMATEL INTERNACIONAL, S.L. (COMATEL)  </w:t>
        <w:br/>
        <w:t>(11) COMATEL is the parent company of the COMATEL GROUP, which also includes the company VEREURO 2013, S.L., known by its trade name, MYR HOTELS. COMATEL is headquartered in Valencia and manages a large distribution network of recreational machines in the Spanish market, with subsidiary companies engaged in the manufacture, marketing, and operation of recreational machines, of which it owns more than 2,000. The machines are primarily distributed in the Autonomous Communities of Valencia, Castilla-La Mancha, and Madrid4.</w:t>
      </w:r>
    </w:p>
    <w:p>
      <w:r>
        <w:t xml:space="preserve">III.5. LUCKIA GAMING GROUP, S.A. (LUCKIA)  </w:t>
        <w:br/>
        <w:t>(12) LUCKIA has its registered office in La Coruña and is engaged in the gaming sector, providing betting house services, casinos, and slot machines, both online and in physical locations. In addition to Spain, it is also present in Chile, Peru, Colombia, Portugal, Croatia, and Malta5.</w:t>
      </w:r>
    </w:p>
    <w:p>
      <w:r>
        <w:t xml:space="preserve">IV. CHARACTERIZATION OF THE MARKET  </w:t>
        <w:br/>
        <w:t xml:space="preserve">(13) The gaming sector is characterized by intense regulatory and administrative intervention. The activity that encompasses the entire national territory is under state jurisdiction, and there is regional jurisdiction for activities that occur within the limits of an Autonomous Community.  </w:t>
        <w:br/>
        <w:t xml:space="preserve">(14) At the state level, Law 13/2011, of May 27, on the regulation of gaming (LRJ) applies, whose Article 1 establishes that it is applicable to gaming activities conducted through electronic, computer, telematic, and interactive channels, in which physical means are of an accessory nature. The Regulation on recreational and gaming machines that develops it classifies gaming machines into6:  </w:t>
        <w:br/>
        <w:t xml:space="preserve">a) "A" type machines or recreational;  </w:t>
        <w:br/>
        <w:t xml:space="preserve">3 Folios 275 and 276.  </w:t>
        <w:br/>
        <w:t xml:space="preserve">4 Folios 398 and 399.  </w:t>
        <w:br/>
        <w:t xml:space="preserve">5 Folios 250 to 252 and 396.  </w:t>
        <w:br/>
        <w:t>6 Approved by Royal Decree 2110/1998, of October 2.</w:t>
      </w:r>
    </w:p>
    <w:p>
      <w:r>
        <w:t xml:space="preserve">Comisión Nacional de los Mercados y la Competencia 5 de 10  </w:t>
        <w:br/>
        <w:t xml:space="preserve">C/ Alcalá, 47 – 28014 Madrid - C/ Bolivia, 56 – 08018 Barcelona  </w:t>
        <w:br/>
        <w:t>www.cnmc.es</w:t>
      </w:r>
    </w:p>
    <w:p>
      <w:r>
        <w:t xml:space="preserve">S/0015/21  </w:t>
        <w:br/>
        <w:t xml:space="preserve">GAMING MACHINES  </w:t>
        <w:br/>
        <w:t xml:space="preserve">b) "B" type machines or recreational machines with programmed prizes, and special machines for gaming halls, bingo halls, and casinos, and  </w:t>
        <w:br/>
        <w:t xml:space="preserve">c) "C" type machines or games of chance.  </w:t>
        <w:br/>
        <w:t xml:space="preserve">(15) The operation of the machines must be carried out in the types of physical locations authorized by the regulations according to the gaming product, and such premises may or may not be owned by the machine operator.  </w:t>
        <w:br/>
        <w:t xml:space="preserve">(16) Contracts for the operation of recreational machines are executed through placement in amusement arcades or hospitality establishments, with the revenue obtained being distributed in varying proportions between the operating company and the owner of the arcade or establishment7. By virtue of this type of contract, the operating company, owner of the machines, assumes all expenses inherent to its condition and is obliged to liquidate and periodically deliver to the establishment owner the agreed participation in the revenue. In return, the establishment owner agrees to place the machine in a suitable, visible, and easily accessible location for the public; to keep the device connected to the electrical network (the energy consumption of which is paid during normal operating hours), and to maintain it in perfect hygiene and safety conditions. There are other secondary obligations such as notifying the operating company of any breakdown or incident, paying out prizes or their differences if the machine does not do so, monitoring its use, and facilitating coin change. The hospitality operator receives as compensation a proportional part of the revenue obtained.  </w:t>
        <w:br/>
        <w:t xml:space="preserve">(17) In certain contracts, the amount of the tax fees accrued for the authorization of active operation of each machine is deducted from the revenue of each machine prior to its distribution, so that it is considered a common and inherent expense to the operation of the machine, regardless of who is formally considered the taxpayer of the fee8.  </w:t>
        <w:br/>
        <w:t>(18) Each Autonomous Community is competent to supervise gaming activities that take place exclusively in its territory, whether in person (bingo halls, betting shops, casinos, gaming halls, etc.) or online limited to the regional scope.</w:t>
      </w:r>
    </w:p>
    <w:p>
      <w:r>
        <w:t xml:space="preserve">V. FACTS  </w:t>
        <w:br/>
        <w:t xml:space="preserve">(19) On April 20, 2020, a virtual seminar organized by EUROPER was held to address and resolve the concerns of entrepreneurs in the sector of the  </w:t>
        <w:br/>
        <w:t xml:space="preserve">7 Folios 320 to 329.  </w:t>
        <w:br/>
        <w:t>8 Information provided by REPRIS (folio 190), AGEO (folio 278), and LUCKIA (folios 253 and 254), in response to information requests made.</w:t>
      </w:r>
    </w:p>
    <w:p>
      <w:r>
        <w:t xml:space="preserve">Comisión Nacional de los Mercados y la Competencia 6 de 10  </w:t>
        <w:br/>
        <w:t xml:space="preserve">C/ Alcalá, 47 – 28014 Madrid - C/ Bolivia, 56 – 08018 Barcelona  </w:t>
        <w:br/>
        <w:t>www.cnmc.es</w:t>
      </w:r>
    </w:p>
    <w:p>
      <w:r>
        <w:rPr>
          <w:b/>
        </w:rPr>
        <w:t>[Pages 7–9]</w:t>
      </w:r>
    </w:p>
    <w:p>
      <w:r>
        <w:t xml:space="preserve">S/0015/21  </w:t>
        <w:br/>
        <w:t xml:space="preserve">GAMING MACHINES  </w:t>
        <w:br/>
        <w:t xml:space="preserve">recreational machines, so that they could make their inquiries, discuss doubts, and share their situation, following the declaration of the state of alarm by Royal Decree 463/2020, of March 14, for the management of the health crisis caused by COVID-19.  </w:t>
        <w:br/>
        <w:t xml:space="preserve">(20) According to the information published in the AZARplus magazine provided by the complainant, the content of which has not been denied by the requested companies, 34 people connected to this seminar and representatives from EUROPER, AGEO, REPRIS, and LUCKIA participated. COMATEL did not attend the seminar, but during it, the SOS HOSTELERÍA project promoted by that entity was discussed.  </w:t>
        <w:br/>
        <w:t xml:space="preserve">(21) During the seminar, according to the published information, the representative of LUCKIA stated the following regarding contract renewals and loans in light of the COVID crisis: “(...) we are going to have to ally ourselves, to be very tough with machines turned off. I fear that we are going to have machines turned off, attempts to withdraw machines, and our survival will depend on that. We will have to cool down the exclusives, simply, I leave it there. It is just a reflection, because the times that, unfortunately, have come to stay, and we will have to ally ourselves.”  </w:t>
        <w:br/>
        <w:t xml:space="preserve">(22) According to the published information, the president of EUROPER indicated that he agreed with the statement made by the representative of LUCKIA and pointed out that forums like that seminar, as well as EUROPER at the associative level, are useful for ongoing discussions. He concluded as follows: “I believe that the sector must be aware that we will only get out of this together. We will not get out any other way. The sector here must agree on all the measures that need to be adapted to get out of this.”  </w:t>
        <w:br/>
        <w:t xml:space="preserve">(23) The representative of LUCKIA also made the following statement during the seminar, according to the published information, regarding events that occurred several decades ago in the gaming sector: “we had machines at 50% to 60% and we managed to establish the rates with machines withdrawn. I remember leaving venues without machines, but no one placed the machines. We respected that, and there we were able to place the rates, to set the rate. By respecting each other, helping each other, and not because we liked each other very much in some cases, but we respected each other and achieved something that was a milestone at that time. At this moment, that is what we have to do, we must reduce exclusives to the maximum, if we can give any exclusives. Ultimately, we will have to be very, very hand in hand.” The rate referred to by the company refers to a complementary levy of the tax rate on games of chance applied to recreational machines “B” or “C,” whose corresponding tax rate for 1990 would have accrued prior to the entry into force of Law 5/1990, of June 29, on budgetary, financial, and tax measures, established exclusively for 1990 in Article 38.2) of Law 5/1990. LUCKIA explains it as follows: “in 1989, at the national level, the administration issued a retroactive tax in the middle of that year, so that the payment for each machine went from 125,000 pesetas to 375,000 pesetas. In addition to the economic grievance that this measure represented for this company, our company's decision was to agree with the hospitality operator to allocate that tax amount to the 'common business,' so that from the revenue of each machine, the tax amount was deducted as an expense, with the resulting amount being shared as profit between the operating company and the owner of the hospitality establishment, in the percentages individually agreed with each one.”  </w:t>
        <w:br/>
        <w:t xml:space="preserve">(24) All the companies and associations in the gaming sector that are part of this file have stated that there have been no contacts after the seminar, nor any recommendations regarding commercial conditions.  </w:t>
        <w:br/>
        <w:t xml:space="preserve">VI. LEGAL GROUNDS  </w:t>
        <w:br/>
        <w:t xml:space="preserve">VI.1. [FIRST] Competence to resolve, proposal of the instructing body, and object of the resolution  </w:t>
        <w:br/>
        <w:t xml:space="preserve">(25) According to Article 5.1.c) of the Law creating the CNMC, this body is competent to “apply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“the Competition Chamber will know of matters related to the application of Law 15/2007, of July 3.”  </w:t>
        <w:br/>
        <w:t xml:space="preserve">(26) On July 8, 2021, the DC submitted a proposal report to the Council of the CNMC. In this document, it was proposed to archive the proceedings due to lack of evidence of the prohibited conduct.  </w:t>
        <w:br/>
        <w:t xml:space="preserve">(27) The Competition Chamber must resolve based on the instruction carried out by the DC whether the requirements to agree to archive the proceedings in accordance with the provisions of Article 53.2 e) of the LDC are met.  </w:t>
        <w:br/>
        <w:t xml:space="preserve">VI.2. [SECOND] Assessment of the Competition Chamber  </w:t>
        <w:br/>
        <w:t xml:space="preserve">(28) The analyzed complaint concerns a possible coordinated conduct by the gaming machine operating companies to pass on the potential losses anticipated for the sector as a result of the COVID-19 pandemic, setting certain commercial conditions for the hospitality establishments where recreational machines are commercially operated, which could constitute a violation of the provisions of Article 1 of the LDC.  </w:t>
        <w:br/>
        <w:t xml:space="preserve">(29) This Chamber concludes that the statements made during the seminar held on April 20, 2020, do not have sufficient merit to warrant consideration as anticompetitive practices under Article 1 of the LDC, nor have any indications been gathered that point to the existence of agreements or coordinated practices among the companies to pass on the payment of the tax to the hospitality establishments.  </w:t>
        <w:br/>
        <w:t>(30) The complaint also refers to an agreement that would have been formalized in the past and to which, according to the complainant, the following statement by the representative of LUCKIA during the seminar could be linked: “no one placed the machines. We respected that, and there we were able to place the rates, to set the rate. By respecting each other, helping each other, and not because we liked each other very much in some cases, but we respected each other and achieved something that was a milestone at that time.” The complaint does not provide information about the validity of that agreement and the companies that would have participated, so no evidence has been provided that could facilitate its investigation even after two requests for information have been made for that purpose. However, in any case, since such conduct could refer to an agreement for the distribution of the payment of a retroactive tax introduced by Law 5/1990 on the gaming tax, deducting it from the distribution of profits, which took place.</w:t>
      </w:r>
    </w:p>
    <w:p>
      <w:r>
        <w:rPr>
          <w:b/>
        </w:rPr>
        <w:t>[Pages 10–10]</w:t>
      </w:r>
    </w:p>
    <w:p>
      <w:r>
        <w:t xml:space="preserve">S/0015/21  </w:t>
        <w:br/>
        <w:t xml:space="preserve">GAMING MACHINES  </w:t>
        <w:br/>
        <w:t xml:space="preserve">presumably in the years 1989 and 1990 (since the payment was established exclusively for 1990 and was subsequently annulled by the aforementioned ruling of the Constitutional Court 173/1996, of October 31), it must be considered that it would already be time-barred.  </w:t>
        <w:br/>
        <w:t xml:space="preserve">(31) As a consequence of all the above, this Chamber considers that there are no indications of infringement of Article 1 of the LDC, and therefore considers that, in accordance with the provisions of Article 49.3 of the LDC, the initiation of sanctioning proceedings is not warranted, as well as the filing of the proceedings followed as a result of the complaint filed.  </w:t>
        <w:br/>
        <w:t xml:space="preserve">(32) In light of the previous background and legal grounds, the Competition Chamber of the CNMC  </w:t>
        <w:br/>
        <w:t xml:space="preserve">VII. RESOLVES  </w:t>
        <w:br/>
        <w:t xml:space="preserve">Single. Not to initiate sanctioning proceedings and to agree to the filing of the proceedings followed as a result of a complaint against companies and associations in the gaming sector, considering that there are no indications of infringement of Article 1 of the LDC in this file.  </w:t>
        <w:br/>
        <w:t xml:space="preserve">This Resolution shall be communicated to the Directorate of Competition of the National Commission of Markets and Competition and notified to the interested parties, informing them that there is no administrative appeal against it, and that they may file a contentious-administrative appeal with the National Court within two months from the day following its notification.  </w:t>
        <w:br/>
        <w:t xml:space="preserve">Comisión Nacional de los Mercados y la Competencia 10 de 10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