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https://www.cnmc.es/expedientes/s001819</w:t>
      </w:r>
    </w:p>
    <w:p>
      <w:r>
        <w:t>Pages translated : 10</w:t>
      </w:r>
    </w:p>
    <w:p/>
    <w:p>
      <w:r>
        <w:rPr>
          <w:b/>
        </w:rPr>
        <w:t>[Pages 1–3]</w:t>
      </w:r>
    </w:p>
    <w:p>
      <w:r>
        <w:t xml:space="preserve">RESOLUTION  </w:t>
        <w:br/>
        <w:t xml:space="preserve">Exp. S/DC/018/19, GM FUEL TANK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y Vallvé  </w:t>
        <w:br/>
        <w:t xml:space="preserve">In Madrid, on December 19, 2019  </w:t>
        <w:br/>
        <w:t xml:space="preserve">The Competition Chamber of the Council of the National Commission of Markets and Competition (CNMC), with the composition expressed, has issued the following resolution in the file S/DC/018/19, GM FUEL TANK, processed in response to the complaint filed by the company GM FUEL TANK, S.L. (hereinafter, FUEL TANK) against the Department of Customs and Excise Duties of the State Tax Administration Agency (AEAT), for alleged actions contrary to Law 15/2007, of July 3, on the Defense of Competition (LDC).  </w:t>
        <w:br/>
        <w:t xml:space="preserve">S/0018/19, GM FUEL TANK National Commission of Markets and Competition Page 1 of 10  </w:t>
        <w:br/>
        <w:t xml:space="preserve">C/ Barquillo, 5 – 28004 Madrid - C/ Bolivia, 56 – 08018 Barcelona  </w:t>
        <w:br/>
        <w:t>www.cnmc.es</w:t>
      </w:r>
    </w:p>
    <w:p>
      <w:r>
        <w:t xml:space="preserve">Contents  </w:t>
        <w:br/>
        <w:t xml:space="preserve">I. STATEMENT OF FACTS ............................................................................................ 3  </w:t>
        <w:br/>
        <w:t xml:space="preserve">II. THE PARTIES .............................................................................................................. 3  </w:t>
        <w:br/>
        <w:t xml:space="preserve">1. GM FUEL TANK S.L. (complainant) ......................................................................... 3  </w:t>
        <w:br/>
        <w:t xml:space="preserve">2. Department of Customs and Excise Duties of the AEAT .................................... 4  </w:t>
        <w:br/>
        <w:t xml:space="preserve">III. AFFECTED MARKET .................................................................................................. 4  </w:t>
        <w:br/>
        <w:t xml:space="preserve">1. Regulatory framework ................................................................................................ 4  </w:t>
        <w:br/>
        <w:t xml:space="preserve">2. Product market .......................................................................................................... 5  </w:t>
        <w:br/>
        <w:t xml:space="preserve">3. Geographic market ..................................................................................................... 6  </w:t>
        <w:br/>
        <w:t xml:space="preserve">IV. FACTS .......................................................................................................................... 6  </w:t>
        <w:br/>
        <w:t xml:space="preserve">1. Reported facts ............................................................................................................. 6  </w:t>
        <w:br/>
        <w:t xml:space="preserve">2. Content of the agreement of the Department of Customs and Excise Duties of October 16, 2018 ................................................................. 7  </w:t>
        <w:br/>
        <w:t xml:space="preserve">V. LEGAL GROUNDS ....................................................................................................... 7  </w:t>
        <w:br/>
        <w:t xml:space="preserve">FIRST. - Competence to resolve ................................................................................... 7  </w:t>
        <w:br/>
        <w:t xml:space="preserve">SECOND. - Object of the Resolution and proposal of the instructing body ............ 8  </w:t>
        <w:br/>
        <w:t xml:space="preserve">THIRD. - Assessment of the Competition Chamber .................................................... 8  </w:t>
        <w:br/>
        <w:t xml:space="preserve">HAS RESOLVED ................................................................................................................ 10  </w:t>
        <w:br/>
        <w:t xml:space="preserve">S/0018/19, GM FUEL TANK National Commission of Markets and Competition Page 2 of 10  </w:t>
        <w:br/>
        <w:t xml:space="preserve">C/ Barquillo, 5 – 28004 Madrid - C/ Bolivia, 56 – 08018 Barcelona  </w:t>
        <w:br/>
        <w:t>www.cnmc.es</w:t>
      </w:r>
    </w:p>
    <w:p>
      <w:r>
        <w:t xml:space="preserve">I. STATEMENT OF FACTS  </w:t>
        <w:br/>
        <w:t xml:space="preserve">1. On December 17, 2018, a complaint was filed with the CNMC by FUEL TANK against the AEAT for the denial to this company, through an agreement dated October 16, 2018, of the authorization for the establishment of a tax warehouse for hydrocarbons at the company's facilities in the Outer Port of Huelva located in Palos de la Frontera. The complainant considers that this agreement of the AEAT would have violated Article 4.2 of the LDC (folios 1 to 224).  </w:t>
        <w:br/>
        <w:t xml:space="preserve">2. On June 11, 2019, the Directorate of Competition (hereinafter, DC), in application of the provisions of Article 49.3 of the LDC, issued a proposal for the non-initiation of sanctioning proceedings and the filing of the complaint (folios 226 to 234).  </w:t>
        <w:br/>
        <w:t xml:space="preserve">3. The Competition Chamber of the Council of the CNMC deliberated and ruled on the matter in its meeting of December 19, 2019.  </w:t>
        <w:br/>
        <w:t xml:space="preserve">II. THE PARTIES  </w:t>
        <w:br/>
        <w:t xml:space="preserve">The parties in this file are:  </w:t>
        <w:br/>
        <w:t xml:space="preserve">1. GM FUEL TANK S.L. (complainant)  </w:t>
        <w:br/>
        <w:t xml:space="preserve">GM FUEL TANK S.L. is a company established in 2011, with its registered office in Abrera (Barcelona). According to its bylaws, the corporate purpose is wholesale trade, retail sale, distribution of fuels, biofuels, lubricants, and any petroleum derivatives, including the operation of storage and distribution centers for hydrocarbons. According to the complaint, GM FUEL TANK's activity focuses on the storage of petroleum products belonging to third parties. To carry out this activity, the company states that it has, under lease, three establishments in Huelva, Barcelona, and Bilbao.  </w:t>
        <w:br/>
        <w:t xml:space="preserve">GM FUEL TANK belongs to the GM FUEL business group. The products stored are owned by GM FUEL SERVICE S.L., a wholesale operator of petroleum products, and by GM FUEL ATLANTICA S.L. and GM FUEL IBERICA S.L., retail distributors. According to the complaint, the GM FUEL group acts as a warehouse operator and wholesale operator of petroleum products in the national territory.  </w:t>
        <w:br/>
        <w:t xml:space="preserve">S/0018/19, GM FUEL TANK National Commission of Markets and Competition Page 3 of 10  </w:t>
        <w:br/>
        <w:t xml:space="preserve">C/ Barquillo, 5 – 28004 Madrid - C/ Bolivia, 56 – 08018 Barcelona  </w:t>
        <w:br/>
        <w:t>www.cnmc.es</w:t>
      </w:r>
    </w:p>
    <w:p>
      <w:r>
        <w:rPr>
          <w:b/>
        </w:rPr>
        <w:t>[Pages 4–6]</w:t>
      </w:r>
    </w:p>
    <w:p>
      <w:r>
        <w:t>2. Department of Customs and Excise Duties of the State Tax Administration Agency (Tax Agency or AEAT)</w:t>
      </w:r>
    </w:p>
    <w:p>
      <w:r>
        <w:t>The Tax Agency, created by Article 103 of Law 31/1990, of December 27, on the General State Budgets for 1991, was effectively established on January 1, 1992. It is configured as a public law entity attached to the Ministry of Finance through the Secretary of State for Finance. As such a public law entity, it has its own legal regime.</w:t>
      </w:r>
    </w:p>
    <w:p>
      <w:r>
        <w:t>The Tax Agency is entrusted with the effective implementation of the state and customs tax system, as well as those resources from other national public administrations or the European Union whose management is entrusted to it by law or by agreement. Within the AEAT, the Department of Customs and Excise Duties is competent to authorize the establishment of tax warehouses pursuant to the provisions of Article 11.1 of the Regulation on Excise Duties and Article 7.1 of Presidential Order 3581/2007, of December 10.</w:t>
      </w:r>
    </w:p>
    <w:p>
      <w:r>
        <w:t>III. AFFECTED MARKET</w:t>
      </w:r>
    </w:p>
    <w:p>
      <w:r>
        <w:t>The reported practice constitutes the denial, by the Department of Customs and Excise Duties of the AEAT, of the granting of a tax warehouse authorization for hydrocarbons. The affected sector is therefore the hydrocarbons sector, particularly the market for storage services of petroleum products.</w:t>
      </w:r>
    </w:p>
    <w:p>
      <w:r>
        <w:t>1. Regulatory Framework</w:t>
      </w:r>
    </w:p>
    <w:p>
      <w:r>
        <w:t>Article 4.10 of Law 38/1992, of December 28, on Excise Duties (Excise Duties Law) defines tax warehouses as “the establishment or network of pipelines where, by virtue of the authorization granted and in compliance with the conditions and requirements established by regulation, products subject to excise duties may be stored, received, dispatched, and, where appropriate, transformed, under a suspensive regime.”</w:t>
      </w:r>
    </w:p>
    <w:p>
      <w:r>
        <w:t>Article 11 of the Regulation on Excise Duties, approved by Royal Decree 1165/1995, of July 7, states that the managing center may authorize individuals who request it to establish tax warehouses, and that the authorization of these warehouses will be conditioned upon compliance with a series of requirements detailed in the article itself.</w:t>
      </w:r>
    </w:p>
    <w:p>
      <w:r>
        <w:t>Royal Decree 1512/2018, of December 28, amended Article 11 of the Regulation on Excise Duties, stating that tax warehouses must be located in facilities independent of those in which any activity that, for reasons of security or tax control, is not compatible with that determined by the warehouse authorization, such as the supply of fuels to the public, is carried out. However, the managing office may authorize that a delimited area of the premises where the warehouse is installed be considered outside of it for tax purposes.</w:t>
      </w:r>
    </w:p>
    <w:p>
      <w:r>
        <w:t>Tax warehouses where liquid bulk products are introduced must have tanks in which the products will be stored, equipped, in the entirety of the establishment, with the minimum storage capacity required by the managing office in relation to the volume of product entries into the establishment. These tanks must be numbered and equipped with the corresponding measuring elements.</w:t>
      </w:r>
    </w:p>
    <w:p>
      <w:r>
        <w:t>2. Product Market</w:t>
      </w:r>
    </w:p>
    <w:p>
      <w:r>
        <w:t>The complainant is exclusively engaged in the logistics management and storage of third-party petroleum products. The market for the storage of petroleum products includes the provision of services for receiving, operational storage, quantity and quality control, and dispatch of the stored product by the companies that own the warehouses, parks, or storage tanks. These services are complemented by those of storing safety stocks or the addition of additives to the stored products.</w:t>
      </w:r>
    </w:p>
    <w:p>
      <w:r>
        <w:t>Facilities located at airports dedicated to the storage of kerosene for aircraft have traditionally been considered, due to their location and use, sufficiently different to be regarded as a separate product market, compared to the market for other petroleum product storages.</w:t>
      </w:r>
    </w:p>
    <w:p>
      <w:r>
        <w:t>In the specific case of the Canary Islands, the now-defunct CNC considered that in the broad market for the storage of petroleum products, which would include both import storages and secondary and coastal storages, it was necessary to make a differentiation based on the type of product (gasolines, gas oils, and fuel oils), due to various technical constraints. In the present case, the relevant product market is comprised of the storage of petroleum products (excluding aviation fuel), without the need in this file to carry out further segmentation by product type.</w:t>
      </w:r>
    </w:p>
    <w:p>
      <w:r>
        <w:t>3. Geographic Market</w:t>
      </w:r>
    </w:p>
    <w:p>
      <w:r>
        <w:t>It has been considered, both at the national and community level, that the market for the storage of petroleum products has a regional character, which would be determined by the areas of influence of each depot, defined by the transportation costs to the destination point. However, at the national level, the possibility of a peninsular market or an insular dimension has not been excluded.</w:t>
      </w:r>
    </w:p>
    <w:p>
      <w:r>
        <w:t>For the analysis of the present complaint, it can be considered that the geographic market is of a regional nature according to precedents, although an exact definition of the geographic dimension of the affected market is not necessary for the adoption of this resolution.</w:t>
      </w:r>
    </w:p>
    <w:p>
      <w:r>
        <w:t>IV. FACTS</w:t>
      </w:r>
    </w:p>
    <w:p>
      <w:r>
        <w:t>1. Reported Facts</w:t>
      </w:r>
    </w:p>
    <w:p>
      <w:r>
        <w:t>The complaint filed by FUEL TANK refers to the Agreement of October 16, 2018, issued by the Director of the Department of Customs and Excise Duties of the AEAT, which denies the establishment of a tax warehouse for hydrocarbons in Palos de la Frontera, Huelva, to the company FUEL TANK. This denial means that the complainant cannot access the suspensive tax regime for excise duties and VAT exemption that governs the circulation of hydrocarbons between tax warehouses.</w:t>
      </w:r>
    </w:p>
    <w:p>
      <w:r>
        <w:t>According to the complaint, the Agreement violates free competition in the market, which it considers contrary to Article 4.2 of the LDC and claims that it is arbitrary and contrary to law as the complainant possesses the necessary conditions.</w:t>
      </w:r>
    </w:p>
    <w:p>
      <w:r>
        <w:rPr>
          <w:b/>
        </w:rPr>
        <w:t>[Pages 7–9]</w:t>
      </w:r>
    </w:p>
    <w:p>
      <w:r>
        <w:t>authorization of tax warehouse in its establishments in Barcelona and Bilbao, creating an entry barrier in the market that perpetuates the existing natural oligopoly.</w:t>
      </w:r>
    </w:p>
    <w:p>
      <w:r>
        <w:t>Furthermore, the complainant also argues that the aforementioned agreement causes it effective economic harm as it forces it to bear the impact of the tax before the sale of the product, to guarantee the excise tax to the holder of the tax warehouse of origin, and to assume the investment made based on good faith criteria and the principle of legitimate trust.</w:t>
      </w:r>
    </w:p>
    <w:p>
      <w:r>
        <w:t>2. Content of the agreement of the Department of Customs and Excise Duties of October 16, 2018</w:t>
      </w:r>
    </w:p>
    <w:p>
      <w:r>
        <w:t>The agreement (provisional pages 98 to 111), as developed in the section on the assessment of the application, denies the authorization for the establishment of a tax warehouse for hydrocarbons due to the failure to meet the requirements upon which it is conditioned, particularly for reasons related to the installation and the activity intended to be carried out in the establishment.</w:t>
      </w:r>
    </w:p>
    <w:p>
      <w:r>
        <w:t>Specifically, the Agreement states that “the installation does not comply with the provisions of paragraph d) of section 2 of the aforementioned article [Article 11 of the Excise Tax Regulation] for not having adequate storage capacity, proportional to the volume of gas oil A according to the declared movement forecasts by the company” (provisional page 104).</w:t>
      </w:r>
    </w:p>
    <w:p>
      <w:r>
        <w:t>It also states that “the activity planned to be carried out in the establishment does not justify the authorization of a tax warehouse, as it does not conform to the purpose provided for in the regulatory legislation of excise taxes for tax warehouses and the suspensive regime,” in accordance with a prior binding consultation from the General Directorate of Taxes (provisional pages 104 and 105).</w:t>
      </w:r>
    </w:p>
    <w:p>
      <w:r>
        <w:t>V. LEGAL GROUNDS</w:t>
      </w:r>
    </w:p>
    <w:p>
      <w:r>
        <w:t>FIRST. - Competence to resolve</w:t>
      </w:r>
    </w:p>
    <w:p>
      <w:r>
        <w:t>According to Article 5.1.c) of Law 3/2013, of June 4, creating the National Commission of Markets and Competition,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w:t>
      </w:r>
    </w:p>
    <w:p>
      <w:r>
        <w:t>Likewise, Article 14.1.a)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w:t>
      </w:r>
    </w:p>
    <w:p>
      <w:r>
        <w:t>Consequently, the competence to resolve this procedure corresponds to the Competition Chamber of the CNMC Council.</w:t>
      </w:r>
    </w:p>
    <w:p>
      <w:r>
        <w:t>SECOND. - Object of the Resolution and proposal of the instructing body</w:t>
      </w:r>
    </w:p>
    <w:p>
      <w:r>
        <w:t>This Chamber must assess in the present resolution whether the requirements for the application of Article 49.3 of the LDC are met, that is, the absence of indications of infringement to agree not to initiate the sanctioning procedure and to archive the actions carried out so far.</w:t>
      </w:r>
    </w:p>
    <w:p>
      <w:r>
        <w:t>It is therefore necessary to evaluate the absence of indications of conduct by the AEAT, as proposed by the Directorate of Competition, or whether, on the contrary, in such actions there may be indications of infringement of Article 1 of the LDC, which would motivate the initiation of the sanctioning file.</w:t>
      </w:r>
    </w:p>
    <w:p>
      <w:r>
        <w:t>On the other hand, Article 27.1 of the Competition Defense Regulation (RDC), approved by Royal Decree 261/2008, of February 22, stipulates that: “1. In order for the Council of the National Commission of Competition [current CNMC] to agree not to initiate a procedure and archive the actions in the terms established in Articles 44 and 49.3 of Law 15/2007, of July 3, the Directorate of Investigation [current Directorate of Competition] will forward to it the complaint received, the prior actions carried out, if applicable, and a proposal for archiving.”</w:t>
      </w:r>
    </w:p>
    <w:p>
      <w:r>
        <w:t>In its report of June 11, 2019, the DC proposed to this Chamber the non-initiation of the sanctioning procedure and the archiving of the actions, in accordance with the provisions of Article 49.3 of the LDC, as it considers that, in relation to the reported facts, there are no indications of infringement of the LDC.</w:t>
      </w:r>
    </w:p>
    <w:p>
      <w:r>
        <w:t>THIRD. - Assessment of the Competition Chamber</w:t>
      </w:r>
    </w:p>
    <w:p>
      <w:r>
        <w:t>In the present resolution, as previously indicated, this Chamber must assess whether, as proposed by the DC, the absence of indications of infringement of the LDC justifies the non-initiation of the sanctioning procedure and the archiving of the actions.</w:t>
      </w:r>
    </w:p>
    <w:p>
      <w:r>
        <w:t>The conduct prohibited by competition regulations is contained in Articles 1 to 3 of the LDC, which refer, respectively, to collusive agreements, abuse of the dominant position of one or more companies, and acts of unfair competition that, by distorting competition, affect the public interest.</w:t>
      </w:r>
    </w:p>
    <w:p>
      <w:r>
        <w:t>Such conduct may not be subject to infringing competition regulations when carried out as a result of the application of a law. Thus, Article 4 of the LDC, to which the complaint refers, states that:</w:t>
      </w:r>
    </w:p>
    <w:p>
      <w:r>
        <w:t xml:space="preserve">“1. Without prejudice to the eventual application of community provisions on competition defense, the prohibitions of this chapter shall not apply to conduct resulting from the application of a law. </w:t>
        <w:br/>
        <w:t>2. The prohibitions of this chapter shall apply to situations of restriction of competition arising from the exercise of other administrative powers or caused by the actions of public authorities or public companies without such legal protection.”</w:t>
      </w:r>
    </w:p>
    <w:p>
      <w:r>
        <w:t>The Supreme Court has indicated that the objective of this article is to exclude from the scope of competition regulations those conducts authorized by a law with the specific purpose of excluding them from the application of the prohibitions of the LDC itself. In the absence of a specific exclusion, for the application of such provision, the elements of the type of prohibitions contained in Articles 1 to 3 of the LDC must be met in any case.</w:t>
      </w:r>
    </w:p>
    <w:p>
      <w:r>
        <w:t>From the documentation in the file, there are no indications of a violation of competition law in this case. On one hand, the denial agreement of October 16 cannot be considered a prohibited collusive agreement, as it is a unilateral act of the AEAT, so there is no element of multilateralism or, at least, bilateralism required by the type provided in the aforementioned provision for an anti-competitive concordance of wills; nor can this decision of the AEAT be considered a material facilitating or instigating action of a collusive agreement. Likewise, by acting the AEAT in the exercise of its own powers as the authority responsible for granting authorization for the tax warehouse of hydrocarbons, and not being an economic operator in the affected market nor holding a dominant position therein, there are also no indications of the possible existence of conduct prohibited by Articles 2 and 3 of the LDC. In light of all this, this Chamber considers that the necessary prior requirements for Article 4.2 to be applicable in this case are not met.</w:t>
      </w:r>
    </w:p>
    <w:p>
      <w:r>
        <w:t>As a consequence of all the above, this Chamber considers that there are no indications of infringement of the LDC by the AEAT, therefore, in accordance with the provisions of Article 49.3 of the LDC, it is appropriate not to initiate the sanctioning procedure, as well as to archive the actions taken as a result of the complaint filed.</w:t>
      </w:r>
    </w:p>
    <w:p>
      <w:r>
        <w:t>6 For all, the STS 3525/2016, of July 18, 2016.</w:t>
      </w:r>
    </w:p>
    <w:p>
      <w:r>
        <w:rPr>
          <w:b/>
        </w:rPr>
        <w:t>[Pages 10–10]</w:t>
      </w:r>
    </w:p>
    <w:p>
      <w:r>
        <w:t>By virtue of this, and in view of the cited provisions and other generally applicable ones, the Competition Chamber</w:t>
      </w:r>
    </w:p>
    <w:p>
      <w:r>
        <w:t>HAS RESOLVED</w:t>
      </w:r>
    </w:p>
    <w:p>
      <w:r>
        <w:t>SOLE.- Not to initiate sanctioning proceedings and to agree to the filing of the actions taken as a result of the complaint filed, considering that there are no indications of an infringement of the LDC in this file.</w:t>
      </w:r>
    </w:p>
    <w:p>
      <w:r>
        <w:t>This resolution shall be communicated to the Competition Directorate, and notified to the interested parties, informing them that there is no administrative appeal against it, and that they may file a contentious-administrative appeal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