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https://www.cnmc.es/expedientes/s001825</w:t>
      </w:r>
    </w:p>
    <w:p>
      <w:r>
        <w:t>Pages translated : 11</w:t>
      </w:r>
    </w:p>
    <w:p/>
    <w:p>
      <w:r>
        <w:rPr>
          <w:b/>
        </w:rPr>
        <w:t>[Pages 1–3]</w:t>
      </w:r>
    </w:p>
    <w:p>
      <w:r>
        <w:t>S/0018/25</w:t>
        <w:br/>
        <w:t>BANK DEPOSIT REMUNERATION</w:t>
        <w:br/>
        <w:t>AGREEMENT NOT TO INITIATE AND FILING OF THE</w:t>
        <w:br/>
        <w:t>PROCEEDINGS</w:t>
        <w:br/>
        <w:t>BANK DEPOSIT REMUNERATION</w:t>
        <w:br/>
        <w:t>S/0018/25</w:t>
        <w:br/>
        <w:t>COUNCIL. COMPETITION CHAMBER</w:t>
        <w:br/>
        <w:t>President</w:t>
        <w:br/>
        <w:t>Ms. Cani Fernández Vicién</w:t>
        <w:br/>
        <w:t>Counselors</w:t>
        <w:br/>
        <w:t>Mr. Rafael Iturriaga Nieva</w:t>
        <w:br/>
        <w:t>Mr. Pere Soler Campins</w:t>
        <w:br/>
        <w:t>Ms. María Vidales Picazo</w:t>
        <w:br/>
        <w:t>Secretary of the Council</w:t>
        <w:br/>
        <w:t>Mr. Miguel Bordiu García-Ovies</w:t>
        <w:br/>
        <w:t>In Madrid, on February 3, 2026</w:t>
        <w:br/>
        <w:t>The Competition Chamber of the Council of the National Commission of Markets and Competition (CNMC), with the composition expressed, has issued the following agreement in the reference file processed by the Directorate of Competition for alleged anti-competitive practices contrary to Articles 1 and 2 of Law 15/2007, of July 3, on the Defense of Competition.</w:t>
        <w:br/>
        <w:t>National Commission of Markets and Competition 1 of 11</w:t>
        <w:br/>
        <w:t>C/ Alcalá, 47 – 28014 Madrid - C/ Bolivia, 56 – 08018 Barcelona</w:t>
        <w:br/>
        <w:t>www.cnmc.es</w:t>
      </w:r>
    </w:p>
    <w:p>
      <w:r>
        <w:t>S/0018/25</w:t>
        <w:br/>
        <w:t>BANK DEPOSIT REMUNERATION</w:t>
        <w:br/>
        <w:t>TABLE OF CONTENTS</w:t>
        <w:br/>
        <w:t>1. BACKGROUND .......................................................................................... 3</w:t>
        <w:br/>
        <w:t>2. THE PARTIES ............................................................................................. 3</w:t>
        <w:br/>
        <w:t>2.1. Respondents: SANTANDER, BBVA, CAIXABANK, and SABADELL ........ 3</w:t>
        <w:br/>
        <w:t>2.2. Complainant: ModeOn Consumer Association ......................................... 4</w:t>
        <w:br/>
        <w:t>3. MARKET AFFECTED BY THE REPORTED PRACTICES ......................... 4</w:t>
        <w:br/>
        <w:t>4. SUBJECT OF THE COMPLAINT ................................................................ 5</w:t>
        <w:br/>
        <w:t>5. LEGAL BASIS ............................................................................................. 5</w:t>
        <w:br/>
        <w:t>5.1. Jurisdiction to resolve .............................................................................. 5</w:t>
        <w:br/>
        <w:t>5.2. Proposal of the instructing body ................................................................ 6</w:t>
        <w:br/>
        <w:t>5.3. Assessment of the Competition Chamber .................................................. 6</w:t>
        <w:br/>
        <w:t>5.3.1. On the alleged infringement of Article 1 of the LDC ......................................... 6</w:t>
        <w:br/>
        <w:t>5.3.2. On the alleged infringement of Article 2 of the LDC ......................................... 9</w:t>
        <w:br/>
        <w:t>6. AGREEMENT ............................................................................................. 11</w:t>
        <w:br/>
        <w:t>National Commission of Markets and Competition 2 of 11</w:t>
        <w:br/>
        <w:t>C/ Alcalá, 47 – 28014 Madrid - C/ Bolivia, 56 – 08018 Barcelona</w:t>
        <w:br/>
        <w:t>www.cnmc.es</w:t>
      </w:r>
    </w:p>
    <w:p>
      <w:r>
        <w:t>S/0018/25</w:t>
        <w:br/>
        <w:t>BANK DEPOSIT REMUNERATION</w:t>
        <w:br/>
        <w:t>1. BACKGROUND</w:t>
        <w:br/>
        <w:t>(1) On July 27, 2023, a complaint was received by the Directorate of Competition (DC) filed by the ModeON Consumer Association against the main banking entities operating in Spain (Banco Santander, S.A., Banco Bilbao Vizcaya Argentaria, S.A., Caixabank, S.A., Banco Sabadell, S.A.).</w:t>
        <w:br/>
        <w:t>(2) The subject of the complaint is the failure to transmit the increase in market interest rates by the aforementioned entities to the remuneration of new term deposits granted to individuals and businesses in Spanish territory. According to the complaint, the reported facts would constitute an infringement of Article 1 of Law 15/2007, of July 3, on the Defense of Competition (LDC), for the commission of concerted or consciously parallel practices, indicating that there is no plausible alternative explanation. Subsidiarily, a potential infringement of Article 2 LDC for abuse of collective dominant position is mentioned.</w:t>
        <w:br/>
        <w:t>(3) On September 17, 2025, the DC agreed to initiate an inquiry under reference S/0018/25, as well as to incorporate into it the information and documentation contained in the preliminary proceedings numbered DP/032/23, opened for the purpose of determining whether the facts mentioned in the filed complaint would constitute indications of an infringement of the LDC.</w:t>
        <w:br/>
        <w:t>(4) On October 15, 2025, the Directorate of Competition, in application of the provisions of Article 49.3 of the LDC, issued a proposal not to initiate a sanctioning procedure and to file the actions, considering that the reported facts did not show indications of an infringement of the LDC.</w:t>
        <w:br/>
        <w:t>(5) The Competition Chamber of the CNMC Council has deliberated and ruled on the matter in its meeting of February 3, 2026.</w:t>
        <w:br/>
        <w:t>2. THE PARTIES</w:t>
        <w:br/>
        <w:t>2.1. Respondents: SANTANDER, BBVA, CAIXABANK, and SABADELL</w:t>
        <w:br/>
        <w:t>(6) The complaint is filed against the four main Spanish banking entities:</w:t>
        <w:br/>
        <w:t>• Banco Santander, S.A. (SANTANDER)</w:t>
        <w:br/>
        <w:t>• Banco Bilbao Vizcaya Argentaria, S.A. (BBVA)</w:t>
        <w:br/>
        <w:t>• Caixabank, S.A. (CAIXABANK)</w:t>
        <w:br/>
        <w:t>National Commission of Markets and Competition 3 of 11</w:t>
        <w:br/>
        <w:t>C/ Alcalá, 47 – 28014 Madrid - C/ Bolivia, 56 – 08018 Barcelona</w:t>
        <w:br/>
        <w:t>www.cnmc.es</w:t>
      </w:r>
    </w:p>
    <w:p>
      <w:r>
        <w:rPr>
          <w:b/>
        </w:rPr>
        <w:t>[Pages 4–6]</w:t>
      </w:r>
    </w:p>
    <w:p>
      <w:r>
        <w:t xml:space="preserve">S/0018/25  </w:t>
        <w:br/>
        <w:t xml:space="preserve">BANK DEPOSIT REMUNERATION  </w:t>
        <w:br/>
        <w:t xml:space="preserve">• Banco Sabadell, S.A. (SABADELL)  </w:t>
        <w:br/>
        <w:t xml:space="preserve">2.2. Complainant: ModeOn Consumer Association  </w:t>
        <w:br/>
        <w:t xml:space="preserve">(7) The ModeON Consumer Association is a non-profit association created primarily to defend the rights of consumers against the abuses of large companies.  </w:t>
        <w:br/>
        <w:t xml:space="preserve">3. MARKET AFFECTED BY THE REPORTED PRACTICES  </w:t>
        <w:br/>
        <w:t xml:space="preserve">(8) In accordance with CNMC precedents, the affected product market, as defined in the analysis of concentrations, is that of banking services, specifically retail banking. Retail banking services are aimed at individuals, as well as businesses and SMEs. This segment encompasses various instruments, such as the collection of deposits or the granting of credits and loans.  </w:t>
        <w:br/>
        <w:t xml:space="preserve">(9) Specifically, the reported facts refer to household and SME deposits. Deposits refer to the banking product aimed at savings. According to the regulations on information and classification of financial products, three types of deposits can be identified: demand deposits, savings deposits, and time deposits, where the main differences lie in the degree of availability of the funds that the customer has, as well as the remuneration of the corresponding interest rates.  </w:t>
        <w:br/>
        <w:t xml:space="preserve">(10) Regarding the geographical reference market in the retail banking market, following the aforementioned precedents, it is national in scope, without prejudice to the fact that, on occasions, depending on the characteristics of the parties involved in the operation, lower geographical levels (specifically, regional and provincial) have been analyzed.  </w:t>
        <w:br/>
        <w:t xml:space="preserve">4. SUBJECT OF THE COMPLAINT  </w:t>
        <w:br/>
        <w:t xml:space="preserve">(11) The subject of the complaint is the failure of the reported entities to pass on the increase in market interest rates to the remuneration of new time deposits granted to individuals and companies in Spanish territory.  </w:t>
        <w:br/>
        <w:t xml:space="preserve">(12) According to the complaint document, the described facts would constitute a parallel and sustained behavior over time by the reported companies, consisting of not passing on to the consumer the increase in the price of money that has occurred in the financial market, preventing the remuneration of savings of Spaniards. The complainant adds that, given the current economic situation, in which many customers are seeking investment opportunities, an increase in the remuneration of deposits would translate into a significant increase in customers and, therefore, the only plausible explanation that could justify the reported behaviors is collusion.  </w:t>
        <w:br/>
        <w:t xml:space="preserve">(13) The complainant also indicates that, despite the fact that the respondents have publicly stated that the lack of total pass-through is due to an excess of liquidity in the market, they have indeed passed on the increases in interest rates to their new credit operations.  </w:t>
        <w:br/>
        <w:t xml:space="preserve">(14) The complainant considers that the reported facts would constitute a violation of Article 1 of the LDC, for the commission of concerted or consciously parallel practices, indicating that there is no plausible alternative explanation. Alternatively, a possible violation of Article 2 of the LDC for abuse of collective dominant position is mentioned.  </w:t>
        <w:br/>
        <w:t xml:space="preserve">5. LEGAL BASIS  </w:t>
        <w:br/>
        <w:t xml:space="preserve">5.1. Jurisdiction to resolve  </w:t>
        <w:br/>
        <w:t xml:space="preserve">(15) According to Article 5.1.c) of the Law creating the CNMC, this Body is competent to “apply the provisions of Law 15/2007, of July 3, regarding behaviors that imply impeding, restricting, and distorting competition.” Article 20.2 of the same law assigns the Council the function of “resolving the sanctioning procedures provided for in Law 15/2007, of July 3” and, according to Article 14.1.a) of the Organic Statute of the CNMC, “the Competition Chamber shall be aware of matters related to the application of Law 15/2007, of July 3.”  </w:t>
        <w:br/>
        <w:t xml:space="preserve">(16) Consequently, the competence to resolve this procedure corresponds to the Competition Chamber of the CNMC Council.  </w:t>
        <w:br/>
        <w:t xml:space="preserve">5.2. Proposal of the instructing body  </w:t>
        <w:br/>
        <w:t xml:space="preserve">(17) In its report of October 15, 2025, the DC proposed to this Chamber not to initiate the sanctioning procedure and to file the actions, in accordance with the provisions of Article 49.3 of the LDC, as it considers that, in relation to the reported facts, there are no indications of a violation of the LDC.  </w:t>
        <w:br/>
        <w:t xml:space="preserve">5.3. Assessment of the Competition Chamber  </w:t>
        <w:br/>
        <w:t xml:space="preserve">(18) This Chamber must assess in the present agreement whether the reported facts and the actions of the DC in relation to them can establish the existence of indications of a violation of competition law sufficient to warrant the initiation of a sanctioning procedure for a possible breach of the LDC or whether, on the contrary, the requirements for the application of Article 49.3 of the LDC are met, that is, the absence of indications of a violation, in order to, as proposed by the DC, agree not to initiate the sanctioning procedure and to file the actions taken so far.  </w:t>
        <w:br/>
        <w:t xml:space="preserve">5.3.1. On the alleged violation of Article 1 of the LDC  </w:t>
        <w:br/>
        <w:t xml:space="preserve">(19) Article 1 of the LDC, whose violation has been invoked by the Complainant, establishes the prohibition of certain collusive practices among economic operators that restrict competition by their object or effects.  </w:t>
        <w:br/>
        <w:t>(20) As previously pointed out, the Complainant considers that SANTANDER, BBVA, CAIXABANK, and SABADELL would have engaged in voluntary conduct.</w:t>
      </w:r>
    </w:p>
    <w:p>
      <w:r>
        <w:rPr>
          <w:b/>
        </w:rPr>
        <w:t>[Pages 7–9]</w:t>
      </w:r>
    </w:p>
    <w:p>
      <w:r>
        <w:t>S/0018/25</w:t>
        <w:br/>
        <w:t>BANK DEPOSIT REMUNERATION</w:t>
        <w:br/>
        <w:t>parallel and artificially uniformed in a sustained manner over time, consisting of the application of practically identical prices, and well below the European average, in the remuneration of bank deposits of their clients, freezing the increases in interest rates and penalizing the savings of millions of Spanish consumers. According to the Complainant, the homogeneity in the gradual application of interest rate increases that remunerate deposits by the respondents could have no other possible explanation than under the modality of a concerted practice or consciously parallel.</w:t>
      </w:r>
    </w:p>
    <w:p>
      <w:r>
        <w:t>(21) First of all, it should be noted that the mere fact that there are concordant movements or strategies by several companies, such as the behaviors reported in this case, cannot automatically lead to the conclusion that these companies have indicatively engaged in any of the "collusive behaviors" prohibited by Article 1 of the LDC. Such parallels may respond to the unilateral decision of the companies to adapt to the competitive environment, especially when the markets in which they operate are characterized by a high level of transparency and homogeneity of products.</w:t>
      </w:r>
    </w:p>
    <w:p>
      <w:r>
        <w:t>(22) In any case, for the described behaviors to be indicatively in violation of the prohibition of Article 1 LDC, the detected parallelism among the different entities should respond, at least indicatively, to an express concert (agreement) or tacit coordination among the respondents (for example, through the exchange of information on future strategies), in order to promote a common pattern of behavior.</w:t>
      </w:r>
    </w:p>
    <w:p>
      <w:r>
        <w:t>(23) In this regard, it should be noted that the Complainant has not provided evidentiary elements that indicate that the conduct of the reported entities responds, not even indicatively, to a concert of wills among them nor that, therefore, there has been an express or tacit collusion. Only the 2022 Annual Report of the Bank of Spain8 is presented, which includes public data on the remuneration of bank deposits in Spain, and a series of newspaper articles regarding this topic9, from which it is actually extracted that, considering the different deposit quotas of clients held by the reported entities, there would be no incentives for the concerted application of identical remuneration policies. They also point out that there is competition with a large number of entities (which account for almost 25% of the total deposits), where medium and digital banking would offer deposit remuneration above 2%.</w:t>
      </w:r>
    </w:p>
    <w:p>
      <w:r>
        <w:t>(24) In this regard, and in the absence of evidentiary elements indicating otherwise, this Chamber agrees with the DC that it cannot be concluded from the complaint that concertation is the only plausible explanation justifying the slow and less intense transmission of official interest rates to the remuneration of bank deposits by the reported Spanish entities (and others that have not been reported). Instead, as indicated below, this Council considers that there are factors related to the structure and functioning of the Spanish banking market that could affect the incentives for the remuneration of deposits in Spain, compared to other countries in the Eurozone.</w:t>
      </w:r>
    </w:p>
    <w:p>
      <w:r>
        <w:t>(25) These factors have been analyzed in the 'Report on the factors related to the structure and functioning of the banking market that could affect the incentives for the remuneration of deposits (2024)', prepared by the Competition Promotion Department of this CNMC10, which includes alternative explanations that would justify the previous facts and explain the deviation with respect to other Eurozone countries. Specifically, the identified factors would be grouped into three areas that would rule out that the reported conduct derives, at least indicatively, from a collusion among the respondents.</w:t>
      </w:r>
    </w:p>
    <w:p>
      <w:r>
        <w:t>(26) On the one hand, regarding competitive pressure, although the degree of national concentration in terms of banking assets increased significantly after the financial crisis as a result of the banking restructuring process and other transformations in the sector, it is considered intermediate and not indicative, per se, of competition problems, despite being higher than that of other comparable economies in the Eurozone. In any case, concentration indicators alone do not allow for an assessment of the intensity of competition in the deposit market, and it is necessary to take into account other elements that may more intensely affect the observed differences between countries and among entities present in Spanish territory. Among these factors, which would be related to the structure of demand, are the costs associated with changing banks, which can reduce customer mobility and their funds in certain segments; the availability of financial products that substitute deposits, which still exert little competitive pressure; and the need to deepen financial education initiatives, with levels in Spain being lower than in most Eurozone countries, which could limit the ability to compare offers and contract more complex substitute products for deposits. All of this would have reduced competitive pressure in the market and, consequently, the incentives to raise deposit remuneration by the entities.</w:t>
      </w:r>
    </w:p>
    <w:p>
      <w:r>
        <w:t>(27) A second factor is determined by the high liquidity of Spanish banking entities, which would also have negatively influenced the pace and intensity of the transmission of official interest rate increases to the remuneration of bank deposits.</w:t>
      </w:r>
    </w:p>
    <w:p>
      <w:r>
        <w:t>(28) Additionally, other circumstantial and structural factors of the Spanish banking system relate to the beginning of interest rate increases from negative environments, the rising cost of bank credit, the differences with respect to other countries in the costs associated with attracting deposits due to factors such as the territorial implementation of banking office networks or the average size of deposits, and the temporary levy established in 2022 on credit institutions in Spain, which would constitute facts that could justify the observed divergence in the remuneration of deposits in Spain compared to other Eurozone countries.</w:t>
      </w:r>
    </w:p>
    <w:p>
      <w:r>
        <w:t>(29) In light of the above, there are a series of logical explanations related to the structure and functioning of the Spanish banking system that, as an alternative to collusion, would explain the differential behavior in Spain both in the transmission of official interest rates to the remuneration of bank deposits and in the cost of credit. Beyond the general factors identified in the report prepared by the Competition Promotion Department of this CNMC, there is no evidence of any other indication or proof pointing to the commission of an infringement by the respondents.</w:t>
      </w:r>
    </w:p>
    <w:p>
      <w:r>
        <w:t>(30) For all the above reasons, this Chamber considers that there are not sufficient rational indications that suggest the possible existence of an infringement that should lead to the initiation of a sanctioning procedure for an alleged violation of Article 1 of the LDC.</w:t>
      </w:r>
    </w:p>
    <w:p>
      <w:r>
        <w:t>5.3.2. On the alleged infringement of Article 2 of the LDC</w:t>
      </w:r>
    </w:p>
    <w:p>
      <w:r>
        <w:t>(31) As a subsidiary matter to the infringement of Article 1 of the LDC, the Complainant considers that the behaviors described in their writing should be assessed under the prism of Article 2 LDC and the abuse of collective dominant position consisting of the imposition of prices, either directly or indirectly. In this regard, it should be recalled that in order to consider a violation established, it is necessary to demonstrate that the conduct in question has the effect of restricting competition in the market.</w:t>
      </w:r>
    </w:p>
    <w:p>
      <w:r>
        <w:rPr>
          <w:b/>
        </w:rPr>
        <w:t>[Pages 10–11]</w:t>
      </w:r>
    </w:p>
    <w:p>
      <w:r>
        <w:t>S/0018/25</w:t>
        <w:br/>
        <w:t>BANK DEPOSIT REMUNERATION</w:t>
        <w:br/>
        <w:t>violation of Article 2 of the LDC requires that two simultaneous conditions are met: (i) that the economic operator has a dominant position in a market defined as relevant and (ii) that it abuses that dominant position.</w:t>
      </w:r>
    </w:p>
    <w:p>
      <w:r>
        <w:t>(32) As indicated by the DC in its report, regarding the first condition, for such a "collective" abuse to occur, according to precedents of this authority, it is required, first, that there is interdependence between the respondents and awareness of this interdependence, which would lead them to align their behavior.</w:t>
      </w:r>
    </w:p>
    <w:p>
      <w:r>
        <w:t>(33) In the present case, these conditions would not be met, as there is a large number of entities operating in the national banking sector, with different remuneration policies and an intermediate level of concentration that would not necessarily lead to competition problems. Furthermore, it should be noted that the Spanish banking sector is undergoing a transformation process that, for approximately the last fifteen years, has brought about a high level of digitalization of banking services. The penetration of new entities that operate exclusively at a digital level represents an increasing source of competitive pressure on incumbents in the market, especially in the younger segments, since, while they continue to focus their activity on certain payment services, investment (brokerage), or financial advice, since the increase in rates by the European Central Bank, they are also increasing their activity in the deposit collection segment. Additionally, even though the sector presents certain levels of transparency in prices and offers, such transparency does not reach, due to its granularity, symmetry, stability, and early detection capability, the necessary threshold to sustain a stable interdependence among the reported entities. That is to say, it does not allow for sufficiently symmetric monitoring of future strategies, nor are there indications of the existence of credible and swift discipline or retaliation mechanisms among the respondents, while the aforementioned external competitive pressures (medium and digital banking) persist, which introduce uncertainty and would undermine the stability necessary for interdependence.</w:t>
      </w:r>
    </w:p>
    <w:p>
      <w:r>
        <w:t>(34) All of the above would prevent the reported entities from acting with a sufficient margin of independence in the retail banking market to carry out a collective abusive conduct.</w:t>
      </w:r>
    </w:p>
    <w:p>
      <w:r>
        <w:t>(35) Consequently, since the first condition regarding the existence of a collective dominant position is not met, it is unnecessary to rule on the second condition, related to the existence of abuse, solely for the purpose of dismissing indications of violation of Article 2 of the LDC.</w:t>
      </w:r>
    </w:p>
    <w:p>
      <w:r>
        <w:t>(36) Based on all of the above, this Chamber</w:t>
      </w:r>
    </w:p>
    <w:p>
      <w:r>
        <w:t>6. AGREES</w:t>
        <w:br/>
        <w:t>Sole. Not to initiate sanctioning proceedings and to agree to file the actions taken in the framework of file S/0018/25 BANK DEPOSIT REMUNERATION, considering that there are no indications of violation of Law 15/2007, of July 3, on the Defense of Competition.</w:t>
      </w:r>
    </w:p>
    <w:p>
      <w:r>
        <w:t>This agreement shall be communicated to the Competition Directorate of the National Commission of Markets and Competition and notified to the complainant,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