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https://www.cnmc.es/expedientes/s001919</w:t>
      </w:r>
    </w:p>
    <w:p>
      <w:r>
        <w:t>Pages translated : 12</w:t>
      </w:r>
    </w:p>
    <w:p/>
    <w:p>
      <w:r>
        <w:rPr>
          <w:b/>
        </w:rPr>
        <w:t>[Pages 1–3]</w:t>
      </w:r>
    </w:p>
    <w:p>
      <w:r>
        <w:t xml:space="preserve">S/0019/19  </w:t>
        <w:br/>
        <w:t xml:space="preserve">LABORATORIOS GALDERMA  </w:t>
        <w:br/>
        <w:t xml:space="preserve">RESOLUTION  </w:t>
        <w:br/>
        <w:t xml:space="preserve">FILE LABORATORIOS GALDERMA  </w:t>
        <w:br/>
        <w:t xml:space="preserve">(S/0019/19)  </w:t>
        <w:br/>
        <w:t xml:space="preserve">COUNCIL. COMPETITION ROOM  </w:t>
        <w:br/>
        <w:t xml:space="preserve">Chairwoman  </w:t>
        <w:br/>
        <w:t xml:space="preserve">Ms. Cani Fernández Vicién  </w:t>
        <w:br/>
        <w:t xml:space="preserve">Councillors  </w:t>
        <w:br/>
        <w:t xml:space="preserve">Ms. María Pilar Canedo Arrillaga  </w:t>
        <w:br/>
        <w:t xml:space="preserve">Mr. Carlos Aguilar Paredes  </w:t>
        <w:br/>
        <w:t xml:space="preserve">Mr. Josep Maria Salas Prat  </w:t>
        <w:br/>
        <w:t xml:space="preserve">Ms. María Jesús Martín Martínez  </w:t>
        <w:br/>
        <w:t xml:space="preserve">Secretary of the Council  </w:t>
        <w:br/>
        <w:t xml:space="preserve">Mr. Miguel Bordiu García-Ovies  </w:t>
        <w:br/>
        <w:t xml:space="preserve">In Barcelona, on November 23, 2022  </w:t>
        <w:br/>
        <w:t xml:space="preserve">The Competition Room of the Council of the National Commission of Markets and Competition (CNMC) with the composition expressed, has issued the following resolution in the referenced file processed by the Directorate of Competition (DC) following a complaint against LABORATORIOS GALDERMA, S.A., for alleged conduct prohibited by Article 1 of Law 15/2007, of July 3, on the Defense of Competition (LDC).  </w:t>
        <w:br/>
        <w:t xml:space="preserve">National Commission of Markets and Competition 1 of 12  </w:t>
        <w:br/>
        <w:t xml:space="preserve">C/ Alcalá, 47 – 28014 Madrid - C/ Bolivia, 56 – 08018 Barcelona  </w:t>
        <w:br/>
        <w:t>www.cnmc.es</w:t>
      </w:r>
    </w:p>
    <w:p>
      <w:r>
        <w:t xml:space="preserve">S/0019/19  </w:t>
        <w:br/>
        <w:t xml:space="preserve">LABORATORIOS GALDERMA  </w:t>
        <w:br/>
        <w:t xml:space="preserve">TABLE OF CONTENTS  </w:t>
        <w:br/>
        <w:t xml:space="preserve">I. BACKGROUND ............................................................................................ 3  </w:t>
        <w:br/>
        <w:t xml:space="preserve">II. CONTENT OF THE COMPLAINT ............................................................... 3  </w:t>
        <w:br/>
        <w:t xml:space="preserve">III. ENTITY REPORTED ................................................................................... 4  </w:t>
        <w:br/>
        <w:t xml:space="preserve">IV. MARKET ANALYSIS .................................................................................. 5  </w:t>
        <w:br/>
        <w:t xml:space="preserve">IV.1. Regulatory Framework ................................................................................ 5  </w:t>
        <w:br/>
        <w:t xml:space="preserve">IV.2. Affected Market .......................................................................................... 6  </w:t>
        <w:br/>
        <w:t xml:space="preserve">V. ESTABLISHED FACTS ............................................................................... 7  </w:t>
        <w:br/>
        <w:t xml:space="preserve">VI. LEGAL GROUNDS ...................................................................................... 8  </w:t>
        <w:br/>
        <w:t xml:space="preserve">VI.1. [FIRST] Competence to Resolve ................................................................. 8  </w:t>
        <w:br/>
        <w:t xml:space="preserve">VI.2. [SECOND] Object of the Resolution and Proposal of the  </w:t>
        <w:br/>
        <w:t xml:space="preserve">Instructing Body ............................................................................................ 9  </w:t>
        <w:br/>
        <w:t xml:space="preserve">VI.3. [THIRD] Assessment of the Competition Room ....................................... 9  </w:t>
        <w:br/>
        <w:t xml:space="preserve">VII. RESOLVES ................................................................................................ 12  </w:t>
        <w:br/>
        <w:t xml:space="preserve">INDEX OF TABLES CONTAINED IN THE ANNEX  </w:t>
        <w:br/>
        <w:t xml:space="preserve">Table 1. Information Requests ...................................................................................... 3  </w:t>
        <w:br/>
        <w:t xml:space="preserve">National Commission of Markets and Competition 2 of 12  </w:t>
        <w:br/>
        <w:t xml:space="preserve">C/ Alcalá, 47 – 28014 Madrid - C/ Bolivia, 56 – 08018 Barcelona  </w:t>
        <w:br/>
        <w:t>www.cnmc.es</w:t>
      </w:r>
    </w:p>
    <w:p>
      <w:r>
        <w:t xml:space="preserve">S/0019/19  </w:t>
        <w:br/>
        <w:t xml:space="preserve">LABORATORIOS GALDERMA  </w:t>
        <w:br/>
        <w:t xml:space="preserve">I. BACKGROUND  </w:t>
        <w:br/>
        <w:t xml:space="preserve">(1) On March 6, 2017, a document was submitted to the CNMC reporting alleged conduct prohibited by Article 1 of the LDC carried out by LABORATORIOS GALDERMA, S.A. (“GALDERMA”), consisting of the application of dual pricing, that is, different depending on the resale channel, physical or online1.  </w:t>
        <w:br/>
        <w:t xml:space="preserve">(2) On January 19, 2018, in order to preliminarily determine the existence of circumstances justifying the initiation of a sanctioning file, the DC initiated a reserved inquiry in accordance with Article 49.2 of the LDC.  </w:t>
        <w:br/>
        <w:t xml:space="preserve">In the framework of this reserved inquiry, the following information requests were made:  </w:t>
        <w:br/>
        <w:t xml:space="preserve">Table 1. Information Requests  </w:t>
        <w:br/>
        <w:t xml:space="preserve">Date Requested Subject Pages Request Date Response Pages  </w:t>
        <w:br/>
        <w:t xml:space="preserve">19/01/2018 Complainant 29 – 31 02/02/2018 34 – 76  </w:t>
        <w:br/>
        <w:t xml:space="preserve">11/12/2019 78 – 81 30/12/2019 85 – 86  </w:t>
        <w:br/>
        <w:t xml:space="preserve">14/10/2020 LABORATORIOS GALDERMA, S.A. 94 – 97 22/11/2020 132 – 233  </w:t>
        <w:br/>
        <w:t xml:space="preserve">(3) On January 24, 2020, the DC received a letter of withdrawal of the complaint2. On November 11, 2020, the DC accepted the withdrawal of the complaint limiting its effects to the loss of the status of interested party, without prejudice to the DC being able to continue ex officio with the proceedings3.  </w:t>
        <w:br/>
        <w:t xml:space="preserve">(4) On January 21, 2022, the DC submitted to the Council of the CNMC a proposal for non-initiation and filing of the proceedings (pages 238 – 246).  </w:t>
        <w:br/>
        <w:t xml:space="preserve">(5) The Competition Room of the Council of the CNMC deliberated and ruled on the matter in its meeting of November 23, 2022.  </w:t>
        <w:br/>
        <w:t xml:space="preserve">II. CONTENT OF THE COMPLAINT  </w:t>
        <w:br/>
        <w:t xml:space="preserve">(6) The complainant asserts that GALDERMA would have applied dual pricing, depending on which resale channel (physical or online), including the refusal to supply products in case of non-compliance with the imposed conditions, and that this would be contrary to what is established in Article 1 of the LDC.  </w:t>
        <w:br/>
        <w:t xml:space="preserve">1 Pages 2 – 28.  </w:t>
        <w:br/>
        <w:t xml:space="preserve">2 Pages 89 – 90.  </w:t>
        <w:br/>
        <w:t xml:space="preserve">3 Page 234.  </w:t>
        <w:br/>
        <w:t xml:space="preserve">National Commission of Markets and Competition 3 of 12  </w:t>
        <w:br/>
        <w:t xml:space="preserve">C/ Alcalá, 47 – 28014 Madrid - C/ Bolivia, 56 – 08018 Barcelona  </w:t>
        <w:br/>
        <w:t>www.cnmc.es</w:t>
      </w:r>
    </w:p>
    <w:p>
      <w:r>
        <w:rPr>
          <w:b/>
        </w:rPr>
        <w:t>[Pages 4–6]</w:t>
      </w:r>
    </w:p>
    <w:p>
      <w:r>
        <w:t xml:space="preserve">S/0019/19  </w:t>
        <w:br/>
        <w:t xml:space="preserve">LABORATORIOS GALDERMA  </w:t>
        <w:br/>
        <w:t xml:space="preserve">(7) According to the complaint, starting from November 29, 2016, there would have been a change in the wholesale sales conditions of the products manufactured by GALDERMA. Based on the customer profile held by the complainant, as the owner of a website, GALDERMA would have unilaterally decided to change the commercial conditions and discounts that had been applied in order to control the sale prices through the internet. The complainant claims that GALDERMA offered him as an exceptional measure the maintenance of the sales conditions with the discounts applied up to that date in the processing of orders of units sold exclusively to pharmacies and parapharmacies, excluding from any discount the units sold by GALDERMA to the website.  </w:t>
        <w:br/>
        <w:t xml:space="preserve">(8) Furthermore, the complainant indicates that the non-acceptance of these conditions would result in the refusal to supply the orders placed, not only for the website but also for the pharmacy, as he claims has occurred with the product of the LACOVIN brand.  </w:t>
        <w:br/>
        <w:t xml:space="preserve">(9) The previous actions are reported as being discriminatory for electronic sales compared to sales in physical stores, which would indirectly lead to a prohibition on the sale of products through the internet. As explained in the complaint, establishing restrictions on marketing through channels other than traditional ones implies imposing a selective distribution system that would not be covered by law, given that the sale of GALDERMA's parapharmaceutical products does not require specific services.  </w:t>
        <w:br/>
        <w:t xml:space="preserve">III. ENTITY REPORTED  </w:t>
        <w:br/>
        <w:t xml:space="preserve">(10) Based in Madrid, GALDERMA is a pharmaceutical company that has been operating nationally since its incorporation in 1989. Its corporate purpose focuses on the field of dermatology, marketing prescription medications and therapeutic solutions for skin care. Among them, over-the-counter medications and cosmetics, as well as treatments for aesthetic medicine and corrective treatments4.  </w:t>
        <w:br/>
        <w:t xml:space="preserve">(11) GALDERMA belongs to the multinational group GALDERMA PHARMA, S.A., created in 1981 as a joint venture between NESTLÉ and L’ORÉAL, although since 2014 it has been exclusively owned by NESTLÉ.  </w:t>
        <w:br/>
        <w:t xml:space="preserve">4 Folio 136.  </w:t>
        <w:br/>
        <w:t xml:space="preserve">Comisión Nacional de los Mercados y la Competencia 4 de 12  </w:t>
        <w:br/>
        <w:t xml:space="preserve">C/ Alcalá, 47 – 28014 Madrid - C/ Bolivia, 56 – 08018 Barcelona  </w:t>
        <w:br/>
        <w:t>www.cnmc.es</w:t>
      </w:r>
    </w:p>
    <w:p>
      <w:r>
        <w:t xml:space="preserve">S/0019/19  </w:t>
        <w:br/>
        <w:t xml:space="preserve">LABORATORIOS GALDERMA  </w:t>
        <w:br/>
        <w:t xml:space="preserve">IV. MARKET ANALYSIS  </w:t>
        <w:br/>
        <w:t xml:space="preserve">IV.1. Regulatory Framework  </w:t>
        <w:br/>
        <w:t xml:space="preserve">(12) The products affected by the reported conduct would be those of the INNEOV and LACOVIN brands.  </w:t>
        <w:br/>
        <w:t xml:space="preserve">(13) The products of the INNEOV brand are dietary supplements that constitute different beauty treatments: hair, anti-aging, and sun. Dietary supplements are regulated by Royal Decree 1487/2009, of September 26, concerning dietary supplements, which in Article 2 defines them as "food products intended to supplement the normal diet and consisting of concentrated sources of nutrients or other substances that have a nutritional or physiological effect, in simple or combined form, marketed in dosed form, that is, capsules, pills, tablets, powders in sachets, liquid ampoules, bottles with droppers, and other similar forms of liquids and powders that must be taken in small unit quantities."  </w:t>
        <w:br/>
        <w:t xml:space="preserve">(14) The products of the LACOVIN brand are medications used for the dermatological treatment of androgenetic alopecia5 in adults. For this reason, the production and distribution of these products are regulated by Royal Legislative Decree 1/2015, of July 24, which approves the consolidated text of the Law on guarantees and rational use of medications and health products ("The Medication Law").  </w:t>
        <w:br/>
        <w:t xml:space="preserve">(15) According to Article 2 of the Medication Law, "human use medications" are defined as "any substance or combination of substances that is presented as having properties for the treatment or prevention of diseases in humans or that can be used in humans or administered to humans in order to restore, correct or modify physiological functions by exerting a pharmacological, immunological or metabolic action, or to establish a medical diagnosis."  </w:t>
        <w:br/>
        <w:t xml:space="preserve">(16) Likewise, Article 9 of the Medication Law establishes that no industrially manufactured medication may be placed on the market without prior authorization from the Spanish Agency for Medicines and Health Products (AEMPS) and registration in the Medicines Registry, or without having obtained authorization in accordance with the provisions of European regulations that establish the community procedures for the authorization and control of human and veterinary medications regulated by the European Medicines Agency.  </w:t>
        <w:br/>
        <w:t xml:space="preserve">IV.2. Affected Market  </w:t>
        <w:br/>
        <w:t xml:space="preserve">(17) In several national and European files, the wholesale distribution of specialties and pharmaceutical products to pharmacies has been considered as the product market, which would encompass the entire range of pharmaceutical specialties, ethical and advertising products, products that require special storage and handling conditions such as analgesics and inflammables, and other parapharmaceutical products, such as children's products, dietary products, orthopedic products, cosmetics, etc6.  </w:t>
        <w:br/>
        <w:t xml:space="preserve">(18) Furthermore, the European Commission has subdivided the wholesale distribution market of pharmaceutical products according to three criteria: i) category of wholesalers; ii) category of customers; and iii) category of products7.  </w:t>
        <w:br/>
        <w:t xml:space="preserve">(19) Regarding the categories of wholesalers, two categories have been defined, excluding direct sales. Each category constitutes a separate market: full-line wholesalers, which offer a wide range of pharmaceutical products, and short-line wholesalers, which offer a more restricted range.  </w:t>
        <w:br/>
        <w:t xml:space="preserve">(20) As for the categories of customers, different markets have been distinguished based on the different delivery and purchasing patterns, between pharmacies and doctors and hospitals.  </w:t>
        <w:br/>
        <w:t xml:space="preserve">(21) With respect to the categories of products, within the products marketed by pharmacies, a distinction is made between: i) medications and ii) parapharmaceutical products. The category of "parapharmaceutical products" groups a varied range of heterogeneous products with less stringent regulations than those of medications. Within this category of products, a distinction has been made between so-called effects and accessories (cotton, gauze, bandages, adhesive plasters, dressings, eye patches, absorbents for incontinence, etc.) and other products for infant nutrition, cosmetics, herbal medicine.  </w:t>
        <w:br/>
        <w:t xml:space="preserve">6 National precedents: C-0959/18 BIDAFARMA/SOCOFASA, C-0958/18 BIDAFARMA/ZACOFARVA and C-0745/16 CECOFAR/GRUPO FARMANOVA; European precedents: M.2573 A&amp;C/GROSSFARMA and M.7935 MCKESSON DEUTSCHLAND/BELMEDIS/COPHANA/ESPAFARMED/ALPHAR PARTNERS/SOFIADIS  </w:t>
        <w:br/>
        <w:t xml:space="preserve">7 Cases M. 4301 ALLIANCE BOOTS/CARDINAL HEALTH, M.7494 BROCACEF/MEDIQ NETHERLANDS and M.7818 MCKESSON/UDG HEALTHCARE (PHARMACEUTICAL WHOLESALE AND ASSOCIATED BUSINESSES).  </w:t>
        <w:br/>
        <w:t xml:space="preserve">Comisión Nacional de los Mercados y la Competencia 6 de 12  </w:t>
        <w:br/>
        <w:t xml:space="preserve">C/ Alcalá, 47 – 28014 Madrid - C/ Bolivia, 56 – 08018 Barcelona  </w:t>
        <w:br/>
        <w:t>www.cnmc.es</w:t>
      </w:r>
    </w:p>
    <w:p>
      <w:r>
        <w:rPr>
          <w:b/>
        </w:rPr>
        <w:t>[Pages 7–9]</w:t>
      </w:r>
    </w:p>
    <w:p>
      <w:r>
        <w:t xml:space="preserve">S/0019/19  </w:t>
        <w:br/>
        <w:t xml:space="preserve">LABORATORIOS GALDERMA  </w:t>
        <w:br/>
        <w:t xml:space="preserve">and phytotherapy, enteral nutrition, dietary products, orthopedic products, health care products, etc.  </w:t>
        <w:br/>
        <w:t xml:space="preserve">(22) The national and community precedents cited have determined that the geographic market for the wholesale distribution of specialties and pharmaceutical products is in no case greater than the national level, which may include, depending on the cases, a province, territories of bordering provinces, or regions.  </w:t>
        <w:br/>
        <w:t xml:space="preserve">(23) In conclusion, the market for the product affected by the alleged practices would be that of the marketing of parapharmaceutical products in the pharmacy channel, specifically in the segments of cosmetic products, in the lines of anti-aging, sun, and hair.  </w:t>
        <w:br/>
        <w:t xml:space="preserve">(24) According to GALDERMA, citing IQVIA data from September 2020, the market shares of the INNEOV anti-hair loss, INNEOV anti-aging, and INNEOV sun products in the years 2017-2019 are below 10% in the narrower segments of anti-hair loss, anti-aging, and sun products, respectively8.  </w:t>
        <w:br/>
        <w:t xml:space="preserve">V. ESTABLISHED FACTS  </w:t>
        <w:br/>
        <w:t xml:space="preserve">(25) Since July 15, 2019, INNEOV is a discontinued product that has ceased to be marketed9.  </w:t>
        <w:br/>
        <w:t xml:space="preserve">(26) GALDERMA's distribution system varies depending on the category of the marketed products and the applicable legal requirements. In particular, regarding dermocosmetic products, a category that includes "INNEOV," GALDERMA distributed these products through pharmacies (including online sales), parapharmacies (including online sales), pharmaceutical wholesalers, distributors, parapharmacies in large surfaces, and perfumery chains (including online sales) and dermatological clinics10.  </w:t>
        <w:br/>
        <w:t xml:space="preserve">(27) GALDERMA lacks standard distribution contracts, so the sales conditions are those stipulated on the reverse side of the order forms11. These order forms state in their clause 312:  </w:t>
        <w:br/>
        <w:t xml:space="preserve">“3. PRICE: The prices of the products are set in the current Price List and are understood as net prices (indirect taxes not included). Every order will be billed at the net price in effect on the order date. The invoices corresponding to the orders will include the value at the net unit price, plus the taxes in effect at each moment.”  </w:t>
        <w:br/>
        <w:t xml:space="preserve">(28) The price lists are unique for all of Spain. For all sales channels, GALDERMA provides lists corresponding to the years 2017-2019, which include recommended prices13.  </w:t>
        <w:br/>
        <w:t xml:space="preserve">(29) In the case of dermocosmetic products, the recommended retail price is freely set by the laboratory and, according to the provided price lists, GALDERMA recommends an RRP, with the client having the authority to set the RRP they deem appropriate14.  </w:t>
        <w:br/>
        <w:t xml:space="preserve">(30) Within GALDERMA's commercial strategy, it is noted that [CONFIDENTIAL].  </w:t>
        <w:br/>
        <w:t xml:space="preserve">(31) On January 24, 2020, the complainant sent a letter to the CNMC in which they withdraw the claims made in the complaint, although the CNMC has deemed it appropriate to continue with the proceedings ex officio15.  </w:t>
        <w:br/>
        <w:t xml:space="preserve">VI. LEGAL GROUNDS  </w:t>
        <w:br/>
        <w:t xml:space="preserve">VI.1. [FIRST] Competence to Resolve  </w:t>
        <w:br/>
        <w:t xml:space="preserve">(32) According to Article 5.1.c) of the Law creating the CNMC, this body is competent to “apply the provisions of Law 15/2007, of July 3, regarding conduct that prevents, restricts, and distorts competition”16.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3”17.  </w:t>
        <w:br/>
        <w:t xml:space="preserve">13 Pages 172-173.  </w:t>
        <w:br/>
        <w:t xml:space="preserve">14 Page 169.  </w:t>
        <w:br/>
        <w:t xml:space="preserve">15 Pages 89-90.  </w:t>
        <w:br/>
        <w:t xml:space="preserve">16 Law 3/2013, of June 4, creating the National Commission of Markets and Competition, BOE No. 134, of June 5, 2013.  </w:t>
        <w:br/>
        <w:t xml:space="preserve">17 Royal Decree 657/2013, of August 30, approving the Organic Statute of the National Commission of Markets and Competition, BOE No. 209, of August 31, 2013.  </w:t>
        <w:br/>
        <w:t xml:space="preserve">Comisión Nacional de los Mercados y la Competencia 8 de 12  </w:t>
        <w:br/>
        <w:t xml:space="preserve">C/ Alcalá, 47 – 28014 Madrid - C/ Bolivia, 56 – 08018 Barcelona  </w:t>
        <w:br/>
        <w:t>www.cnmc.es</w:t>
      </w:r>
    </w:p>
    <w:p>
      <w:r>
        <w:t xml:space="preserve">S/0019/19  </w:t>
        <w:br/>
        <w:t xml:space="preserve">LABORATORIOS GALDERMA  </w:t>
        <w:br/>
        <w:t xml:space="preserve">VI.2. [SECOND] Object of the resolution and proposal of the instructing body  </w:t>
        <w:br/>
        <w:t xml:space="preserve">(33) The Competition Chamber must resolve based on the instruction carried out by the DC, which is included in the resolution proposal, whether the requirements are met to agree to the filing of the proceedings in accordance with the provisions of Article 53.2 e) of the LDC.  </w:t>
        <w:br/>
        <w:t xml:space="preserve">(34) On January 21, 2022, the DC sent a resolution proposal to the Council of the CNMC. In this document, it was proposed to file the proceedings due to lack of evidence of the prohibited conduct, with the following literal wording:  </w:t>
        <w:br/>
        <w:t xml:space="preserve">“In view of all the above, in accordance with the provisions of Article 49.3 of Law 15/2007, of July 3, on the Defense of Competition, it is proposed not to initiate the sanctioning procedure, as well as to file the proceedings followed ex officio against GALDERMA, considering that there are no indications of infringement of the aforementioned Law.”  </w:t>
        <w:br/>
        <w:t xml:space="preserve">VI.3. [THIRD] Assessment of the Competition Chamber  </w:t>
        <w:br/>
        <w:t xml:space="preserve">(35) Article 1 of the LDC prohibits agreements that have as their object, produce, or may produce the effect of preventing, restricting, or distorting competition in all or part of the national market.  </w:t>
        <w:br/>
        <w:t xml:space="preserve">(36) To the extent that the contracts signed between GALDERMA and the operators distributing its INNEOV and LACOVIN brand products, specifically pharmacies, could apply different wholesale prices that would benefit those operators distributing the products in the online resale channel compared to physical distributors, this Chamber will proceed to analyze whether these agreements constitute a restriction of competition contrary to Article 1 of the LDC.  </w:t>
        <w:br/>
        <w:t xml:space="preserve">(37) It is considered that these agreements, as they are established between operators that carry out their activity at different levels of the chain, are of a vertical nature according to the provisions of Article 1.1.a) of the Block Exemption Regulation, which defines this type of agreements as “the agreements or concerted practices, entered into between two or more companies that operate, for the purposes of the agreement or concerted practice, at different levels of the production or distribution chain and that refer to the conditions under which the parties may acquire, sell or resell certain goods or services”18.  </w:t>
        <w:br/>
        <w:t xml:space="preserve">18 Regulation (EU) No. 330/2010 of the Commission, of April 20, 2010, on the application of Article 101.3 of the Treaty on the Functioning of the European Union to certain categories of vertical agreements and concerted practices.  </w:t>
        <w:br/>
        <w:t xml:space="preserve">Comisión Nacional de los Mercados y la Competencia 9 de 12  </w:t>
        <w:br/>
        <w:t xml:space="preserve">C/ Alcalá, 47 – 28014 Madrid - C/ Bolivia, 56 – 08018 Barcelona  </w:t>
        <w:br/>
        <w:t>www.cnmc.es</w:t>
      </w:r>
    </w:p>
    <w:p>
      <w:r>
        <w:rPr>
          <w:b/>
        </w:rPr>
        <w:t>[Pages 10–12]</w:t>
      </w:r>
    </w:p>
    <w:p>
      <w:r>
        <w:t xml:space="preserve">S/0019/19  </w:t>
        <w:br/>
        <w:t xml:space="preserve">LABORATORIOS GALDERMA  </w:t>
        <w:br/>
        <w:t xml:space="preserve">(38) Regarding the applicability of the Block Exemption Regulation, Article 1.4 of the LDC establishes that the prohibition in paragraph 1 of the same article shall not apply to agreements, decisions, or collective recommendations, or concerted practices or consciously parallel practices that comply with the provisions established in the Community Regulations concerning the application of Article 101.3 of the Treaty on the Functioning of the European Union to certain categories of agreements, decisions of business associations, and concerted practices, even when the corresponding conduct may not affect trade between Member States of the EU.  </w:t>
        <w:br/>
        <w:t xml:space="preserve">(39) For the category exemption to apply to vertical agreements, they must not contain any restriction included in Article 4 of the Regulation, which lists particularly serious restrictions that lead to the exclusion of the entire vertical agreement from the scope of the Block Exemption Regulation. Among the restrictions on competition considered particularly serious, Article 4 refers to vertical agreements that, directly or indirectly, alone or in combination with other factors under the control of the parties, have the object of:  </w:t>
        <w:br/>
        <w:t xml:space="preserve">“b. the restriction of the territory in which, or of the clientele to which, the buyer party to the agreement, without prejudice to a restriction on its place of establishment, may sell the contractual goods or services.”  </w:t>
        <w:br/>
        <w:t xml:space="preserve">(40) In this regard, the Guidelines on Vertical Restrictions state in paragraph 5219:  </w:t>
        <w:br/>
        <w:t xml:space="preserve">“Internet is a very powerful tool for reaching a larger number and diversity of customers than would be reached using more traditional sales methods, and for this reason, certain restrictions on the use of the internet are treated as restrictions on sales or resale. […]  </w:t>
        <w:br/>
        <w:t xml:space="preserve">The Commission therefore considers the following examples as particularly serious restrictions on passive sales, in light of the ability of these restrictions to limit the distributor in reaching a larger number and diversity of customers:  </w:t>
        <w:br/>
        <w:t xml:space="preserve">[…]  </w:t>
        <w:br/>
        <w:t xml:space="preserve">d) agreeing that the distributor will pay a higher price for products intended to be resold online by the distributor than for those intended to be resold offline. This does not exclude that the supplier offers the buyer a fixed fee (not a variable fee, where the amount increases based on the volume of business conducted offline, as this would indirectly lead to a dual pricing) to support its online or offline sales efforts.” (Emphasis added).  </w:t>
        <w:br/>
        <w:t xml:space="preserve">(41) Therefore, the application of so-called “dual pricing,” that is, the application of a different price depending on which resale channel, physical or online, is considered a particularly serious restriction.  </w:t>
        <w:br/>
        <w:t xml:space="preserve">(42) Regarding commercial conditions, GALDERMA lacks standard distribution contracts. Thus, the sales conditions for the products manufactured by GALDERMA are those stipulated on the reverse side of the order forms, as well as on the reverse side of the invoices issued by GALDERMA (paragraph 27 of the established facts).  </w:t>
        <w:br/>
        <w:t xml:space="preserve">(43) Based on the documents provided by GALDERMA, it is observed that it does not differentiate within each sales channel the volume of physical sales versus online sales. The only criteria that GALDERMA follows to determine the applicable discounts for pharmacies and parapharmacies, regardless of the resale channel, is [CONFIDENTIAL].  </w:t>
        <w:br/>
        <w:t xml:space="preserve">(44) Regarding the establishment of recommended prices for the different channels, it has been confirmed that the price lists applied by GALDERMA are unique for all sales channels, physical or online, throughout the national territory. Furthermore, in the case of dermocosmetic products and over-the-counter advertising medicines, such as those investigated, the recommended price is freely set by GALDERMA, with the client having the authority to set the retail price they deem appropriate (paragraph 29 of the established facts).  </w:t>
        <w:br/>
        <w:t xml:space="preserve">(45) Both the commercial conditions and the recommended prices approved by GALDERMA comply with the provisions of the Block Exemption Regulation.  </w:t>
        <w:br/>
        <w:t xml:space="preserve">(46) As a result of all the above, this Chamber considers that there are no indications of infringement of Article 1 of the LDC, and therefore considers that, in accordance with the provisions of Article 49.3 of the LDC, the initiation of sanctioning proceedings is not warranted, as well as the filing of the proceedings followed as a result of the complaint filed.  </w:t>
        <w:br/>
        <w:t xml:space="preserve">(47) In view of the above background and legal grounds, the Competition Chamber of the CNMC  </w:t>
        <w:br/>
        <w:t xml:space="preserve">S/0019/19  </w:t>
        <w:br/>
        <w:t xml:space="preserve">LABORATORIOS GALDERMA  </w:t>
        <w:br/>
        <w:t xml:space="preserve">VII. RESOLVES  </w:t>
        <w:br/>
        <w:t xml:space="preserve">Single. Not to initiate sanctioning proceedings and to agree to the filing of the proceedings followed as a result of a complaint against LABORATORIOS GALDERMA, S.A., on the grounds that there are no indications of infringement of Article 1 of the LDC.  </w:t>
        <w:br/>
        <w:t xml:space="preserve">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  </w:t>
        <w:br/>
        <w:t xml:space="preserve">Comisión Nacional de los Mercados y la Competencia 12 de 12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