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https://www.cnmc.es/expedientes/s001921</w:t>
      </w:r>
    </w:p>
    <w:p>
      <w:r>
        <w:t>Pages translated : 24</w:t>
      </w:r>
    </w:p>
    <w:p/>
    <w:p>
      <w:r>
        <w:rPr>
          <w:b/>
        </w:rPr>
        <w:t>[Pages 1–3]</w:t>
      </w:r>
    </w:p>
    <w:p>
      <w:r>
        <w:t xml:space="preserve">S/0019/21  </w:t>
        <w:br/>
        <w:t xml:space="preserve">DAF TRUCKS NV AND DAF VEHICULOS INDUSTRIALES  </w:t>
        <w:br/>
        <w:t>AGREEMENT OF NON-INITIATION AND FILING OF THE ACTIONS</w:t>
      </w:r>
    </w:p>
    <w:p>
      <w:r>
        <w:t xml:space="preserve">S/0019/20  </w:t>
        <w:br/>
        <w:t>DAF TRUCKS NV AND DAF VEHICULOS INDUSTRIALES</w:t>
      </w:r>
    </w:p>
    <w:p>
      <w: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Mr. Miguel Bordiu García-Ovies</w:t>
      </w:r>
    </w:p>
    <w:p>
      <w:r>
        <w:t>In Madrid, on November 6, 2023</w:t>
      </w:r>
    </w:p>
    <w:p>
      <w:r>
        <w:t>The Competition Chamber of the Council of the National Commission of Markets and Competition (CNMC) with the composition expressed, has issued the following resolution in the referenced procedure processed by the Competition Directorate following the complaint filed by the company MECÁNICAS HERCAS, S.L., against DAF TRUCKS, N.V. (DAF-NV) and DAF VEHÍCULOS INDUSTRIALES, S.A.U. (DAVISA), for alleged conduct prohibited by Law 15/2007, of July 3, on the Defense of Competition.</w:t>
      </w:r>
    </w:p>
    <w:p>
      <w:r>
        <w:t xml:space="preserve">National Commission of Markets and Competition 1 of 24  </w:t>
        <w:br/>
        <w:t xml:space="preserve">C/ Alcalá, 47 – 28014 Madrid - C/ Bolivia, 56 – 08018 Barcelona  </w:t>
        <w:br/>
        <w:t>www.cnmc.es</w:t>
      </w:r>
    </w:p>
    <w:p>
      <w:r>
        <w:t xml:space="preserve">S/0019/21  </w:t>
        <w:br/>
        <w:t>DAF TRUCKS NV AND DAF VEHICULOS INDUSTRIALES</w:t>
      </w:r>
    </w:p>
    <w:p>
      <w:r>
        <w:t xml:space="preserve">TABLE OF CONTENTS  </w:t>
        <w:br/>
        <w:t xml:space="preserve">1. FACTUAL BACKGROUND .................................................................... 3  </w:t>
        <w:br/>
        <w:t xml:space="preserve">2. THE PARTIES .......................................................................................... 4  </w:t>
        <w:br/>
        <w:t xml:space="preserve">2.1. Reported ............................................................................................... 4  </w:t>
        <w:br/>
        <w:t xml:space="preserve">2.1.1. DAF TRUCKS, N.V. (DAF-NV) .......................................................... 4  </w:t>
        <w:br/>
        <w:t xml:space="preserve">2.1.2. DAF VEHÍCULOS INDUSTRIALES, S.A.U. (DAVISA) ...................... 4  </w:t>
        <w:br/>
        <w:t xml:space="preserve">2.2. Complainant: MECÁNICAS HERCAS S.L. (MHSL) ............................. 4  </w:t>
        <w:br/>
        <w:t xml:space="preserve">3. AFFECTED MARKET ............................................................................. 5  </w:t>
        <w:br/>
        <w:t xml:space="preserve">3.1. Principles .............................................................................................. 5  </w:t>
        <w:br/>
        <w:t xml:space="preserve">3.1.1. Product market ............................................................................... 5  </w:t>
        <w:br/>
        <w:t xml:space="preserve">3.1.2. Geographic market ......................................................................... 6  </w:t>
        <w:br/>
        <w:t xml:space="preserve">3.2. Application to this case ...................................................................... 7  </w:t>
        <w:br/>
        <w:t xml:space="preserve">3.2.1. Markets for the distribution, purchase, sale, or resale of motor vehicles ............................................................................................ 7  </w:t>
        <w:br/>
        <w:t xml:space="preserve">3.2.1.1. Product market .......................................................................... 7  </w:t>
        <w:br/>
        <w:t xml:space="preserve">3.2.1.2. Geographic market .................................................................... 8  </w:t>
        <w:br/>
        <w:t xml:space="preserve">3.2.2. After-sales services market for industrial vehicles ...................... 9  </w:t>
        <w:br/>
        <w:t xml:space="preserve">3.2.2.1. Product market .......................................................................... 9  </w:t>
        <w:br/>
        <w:t xml:space="preserve">3.2.2.2. Geographic market .................................................................. 10  </w:t>
        <w:br/>
        <w:t xml:space="preserve">3.3. Regulatory framework ...................................................................... 10  </w:t>
        <w:br/>
        <w:t xml:space="preserve">4. REPORTED FACTS .............................................................................. 11  </w:t>
        <w:br/>
        <w:t xml:space="preserve">5. LEGAL GROUNDS ............................................................................... 13  </w:t>
        <w:br/>
        <w:t xml:space="preserve">5.1. Competence to Resolve .................................................................... 13  </w:t>
        <w:br/>
        <w:t xml:space="preserve">5.2. Proposal of the instructing body ....................................................... 13  </w:t>
        <w:br/>
        <w:t xml:space="preserve">5.3. Assessment by the Competition Chamber ....................................... 14  </w:t>
        <w:br/>
        <w:t xml:space="preserve">5.3.1. Possible application of Article 1 of the LDC .............................. 14  </w:t>
        <w:br/>
        <w:t xml:space="preserve">5.3.1.1. Principles .................................................................................. 14  </w:t>
        <w:br/>
        <w:t xml:space="preserve">5.3.1.2. Application to this case ............................................................. 16  </w:t>
        <w:br/>
        <w:t>6. AGREEMENT ....................................................................................... 24</w:t>
      </w:r>
    </w:p>
    <w:p>
      <w:r>
        <w:t xml:space="preserve">National Commission of Markets and Competition 2 of 24  </w:t>
        <w:br/>
        <w:t xml:space="preserve">C/ Alcalá, 47 – 28014 Madrid - C/ Bolivia, 56 – 08018 Barcelona  </w:t>
        <w:br/>
        <w:t>www.cnmc.es</w:t>
      </w:r>
    </w:p>
    <w:p>
      <w:r>
        <w:t xml:space="preserve">S/0019/21  </w:t>
        <w:br/>
        <w:t>DAF TRUCKS NV AND DAF VEHICULOS INDUSTRIALES</w:t>
      </w:r>
    </w:p>
    <w:p>
      <w:r>
        <w:t xml:space="preserve">1. FACTUAL BACKGROUND  </w:t>
        <w:br/>
        <w:t xml:space="preserve">(1) On September 10, 2021, a document1 was received in the Competition Directorate (DC) of the National Commission of Markets and Competition (CNMC) sent by the company MECÁNICAS HERCAS, S.L. (MHSL) in which it formulates a complaint against the company DAF TRUCKS, N.V. (DAF-NV) and DAF VEHÍCULOS INDUSTRIALES, S.A.U. (DAVISA), for alleged conduct prohibited by Articles 1 of Law 15/2007, of July 3, on the Defense of Competition (LDC) and 101 of the Treaty on the Functioning of the European Union (TFEU).  </w:t>
        <w:br/>
        <w:t xml:space="preserve">(2) In particular, MHSL alleges that DAF-NV and DAVISA do not comply with the competition rules as holders of an after-sales service network in Spain that they qualify as qualitative selective, in the terms established by Regulation 461/2010 of the Commission, of May 27, 2010, regarding the application of Article 101, paragraph 3, of the TFEU to certain categories of vertical agreements and concerted practices in the motor vehicle sector. In essence, the reported companies would not accept that MHSL join the official after-sales service network as, according to the complainant, community regulations would prescribe.  </w:t>
        <w:br/>
        <w:t xml:space="preserve">(3) Furthermore, MHSL asserts that DAF-NV and DAVISA would have committed an infringement of Regulation 330/20102 general exemption by categories on vertical agreements, and thereby Article 1 of the LDC and Article 101 of the TFEU, by allegedly having prevented members of their dealership network from participating in the distribution of vehicles of other brands during the validity of the contract. It also claims that the marketing of vehicles of other brands would have led to its expulsion from the commercial network of DAF-NV and DAVISA to which the complainant belonged.  </w:t>
        <w:br/>
        <w:t xml:space="preserve">(4) In order to determine the veracity of the reported facts, and whether there may be indications of infringement of the LDC in them, the DC initiated the corresponding actions under file number S/0019/21.  </w:t>
        <w:br/>
        <w:t xml:space="preserve">(5) On June 28, 2022, the DC sent a request for information to DAF-NV and DAVISA3.  </w:t>
        <w:br/>
        <w:t xml:space="preserve">1 Pages 1 to 338.  </w:t>
        <w:br/>
        <w:t xml:space="preserve">2 Regulation 330/2010 expired on May 31, 2022, and has been replaced by Regulation 2022/720.  </w:t>
        <w:br/>
        <w:t xml:space="preserve">3 Pages 339 to 345.  </w:t>
        <w:br/>
        <w:t xml:space="preserve">National Commission of Markets and Competition 3 of 24  </w:t>
        <w:br/>
        <w:t xml:space="preserve">C/ Alcalá, 47 – 28014 Madrid - C/ Bolivia, 56 – 08018 Barcelona  </w:t>
        <w:br/>
        <w:t>www.cnmc.es</w:t>
      </w:r>
    </w:p>
    <w:p>
      <w:r>
        <w:rPr>
          <w:b/>
        </w:rPr>
        <w:t>[Pages 4–6]</w:t>
      </w:r>
    </w:p>
    <w:p>
      <w:r>
        <w:t xml:space="preserve">S/0019/21  </w:t>
        <w:br/>
        <w:t>DAF TRUCKS NV AND DAF VEHICULOS INDUSTRIALES</w:t>
      </w:r>
    </w:p>
    <w:p>
      <w:r>
        <w:t>(6) On July 19, 2022, a document from DAF-NV and DAVISA was received by the CNMC in response to the request for information issued on June 28, 2022.</w:t>
      </w:r>
    </w:p>
    <w:p>
      <w:r>
        <w:t>(7) On June 8, 2023, the Competition Directorate, in application of the provisions of Article 49.3 of the LDC, issued a proposal for non-initiation of sanctioning proceedings and for the filing of the actions, considering that the reported facts did not show indications of infringement of Article 1 of the LDC nor of Article 101 of the TFEU.</w:t>
      </w:r>
    </w:p>
    <w:p>
      <w:r>
        <w:t>(8) The Competition Chamber of the CNMC Council has deliberated and decided on the matter in its meeting on November 6, 2023.</w:t>
      </w:r>
    </w:p>
    <w:p>
      <w:r>
        <w:t>2. THE PARTIES</w:t>
      </w:r>
    </w:p>
    <w:p>
      <w:r>
        <w:t>2.1. Reported</w:t>
      </w:r>
    </w:p>
    <w:p>
      <w:r>
        <w:t>2.1.1. DAF TRUCKS, N.V. (DAF-NV)</w:t>
      </w:r>
    </w:p>
    <w:p>
      <w:r>
        <w:t>(9) DAF TRUCKS N.V. (DAF-NV) is a Dutch manufacturer of vehicles, a subsidiary of the American multinational PACCAR Inc., specialized in the design and manufacture of light, medium, and heavy commercial vehicles.</w:t>
      </w:r>
    </w:p>
    <w:p>
      <w:r>
        <w:t>2.1.2. DAF VEHÍCULOS INDUSTRIALES, S.A.U. (DAVISA)</w:t>
      </w:r>
    </w:p>
    <w:p>
      <w:r>
        <w:t>(10) DAF VEHÍCULOS INDUSTRIALES, S.A.U. (DAVISA) is a Spanish subsidiary of DAF-NV, which, in turn, holds 100% of its share capital.</w:t>
      </w:r>
    </w:p>
    <w:p>
      <w:r>
        <w:t>2.2. Complainant: MECÁNICAS HERCAS S.L. (MHSL)</w:t>
      </w:r>
    </w:p>
    <w:p>
      <w:r>
        <w:t>(11) MECÁNICAS HERCAS S.L. (MHSL) is a Spanish company engaged in the sale of industrial vehicles (new, semi-new, and used), as well as the repair and sale of spare parts for industrial vehicles.</w:t>
      </w:r>
    </w:p>
    <w:p>
      <w:r>
        <w:t>3. AFFECTED MARKET</w:t>
      </w:r>
    </w:p>
    <w:p>
      <w:r>
        <w:t>3.1. Principles</w:t>
      </w:r>
    </w:p>
    <w:p>
      <w:r>
        <w:t>3.1.1. Product Market</w:t>
      </w:r>
    </w:p>
    <w:p>
      <w:r>
        <w:t>(12) The definition of the relevant market seeks to determine the limits of competition among companies by identifying the immediate competitive pressures they face.</w:t>
      </w:r>
    </w:p>
    <w:p>
      <w:r>
        <w:t>(13) The concept of the relevant product market implies that there is effective competition among the products or services that are part of it, due to the fact that, considering the specific use of such products or services, there is a sufficient degree of substitutability among them.</w:t>
      </w:r>
    </w:p>
    <w:p>
      <w:r>
        <w:t>(14) An analysis of this type cannot be limited to examining the objective characteristics of the products and services in question, but must also take into account the competitive conditions and the structure of supply and demand.</w:t>
      </w:r>
    </w:p>
    <w:p>
      <w:r>
        <w:t>(15) In this sense, companies are subjected to three main sources of competitive pressures: demand substitutability, supply substitutability, and potential competition.</w:t>
      </w:r>
    </w:p>
    <w:p>
      <w:r>
        <w:t>(16) From an economic perspective, for the definition of the relevant market, demand substitutability is the most immediate and effective means of restricting the behavior of suppliers of a particular product5. Thus, the substitutability of products or services for the purposes of defining the relevant market must be evaluated, primarily, from the perspective of consumer demand.</w:t>
      </w:r>
    </w:p>
    <w:p>
      <w:r>
        <w:t>(17) From this perspective, the factors that may be taken into account include the nature and technical characteristics of the products or services in question, consumer preferences, switching costs and barriers, observed facts in the market, the historical development of such products or services, and also the business practices of the company6. Furthermore, the existence of independent companies in the market specialized in the manufacture and sale of the product or service is an "important indication" of the existence of a distinct market for that product or service7.</w:t>
      </w:r>
    </w:p>
    <w:p>
      <w:r>
        <w:t>(18) On the other hand, supply substitutability may also be considered when defining markets in certain cases (particularly in cases where its effects are equivalent to those of demand substitutability in terms of effectiveness and immediate response). There is supply substitutability when suppliers can switch to producing the reference products and marketing them in the short term, without incurring significant additional costs or risks, in response to small relative variations in prices or demand conditions. When these conditions are met, the additional production marketed will have a restrictive effect on the competitive behavior of the affected companies.</w:t>
      </w:r>
    </w:p>
    <w:p>
      <w:r>
        <w:t>(19) The third source of competitive pressure, potential competition, is not taken into account for the definition of the market, since the conditions under which potential competition will actually represent competitive pressure depend on the analysis of specific factors and circumstances related to access conditions. If necessary, this analysis is not carried out until a later phase, once the position of the companies participating in the relevant market has been determined and that position raises competition concerns8.</w:t>
      </w:r>
    </w:p>
    <w:p>
      <w:r>
        <w:t>3.1.2. Geographic Market</w:t>
      </w:r>
    </w:p>
    <w:p>
      <w:r>
        <w:t>(20) The relevant geographic market comprises the area in which the affected companies carry out activities of supplying the products and providing the services in question, in which the competitive conditions are sufficiently homogeneous and that can be distinguished from other nearby geographic areas due to, in particular, the fact that the prevailing competitive conditions in it are significantly different from those9.</w:t>
      </w:r>
    </w:p>
    <w:p>
      <w:r>
        <w:rPr>
          <w:b/>
        </w:rPr>
        <w:t>[Pages 7–9]</w:t>
      </w:r>
    </w:p>
    <w:p>
      <w:r>
        <w:t xml:space="preserve">S/0019/21  </w:t>
        <w:br/>
        <w:t>DAF TRUCKS NV AND DAF VEHICULOS INDUSTRIALES</w:t>
      </w:r>
    </w:p>
    <w:p>
      <w:r>
        <w:t>3.2. Application to this case</w:t>
      </w:r>
    </w:p>
    <w:p>
      <w:r>
        <w:t>3.2.1. Markets for the distribution, purchase, sale, or resale of motor vehicles</w:t>
      </w:r>
    </w:p>
    <w:p>
      <w:r>
        <w:t>3.2.1.1. Product market</w:t>
      </w:r>
    </w:p>
    <w:p>
      <w:r>
        <w:t>(21) Both the CNMC and the European Commission (EC) have analyzed in previous precedents the sector of distribution, purchase, sale, or resale of motor vehicles, differentiating between wholesale markets (in which distributors10 and importers act as suppliers and dealers as demanders) and retail markets (in which the supply is constituted by dealers and the demand by end customers).</w:t>
      </w:r>
    </w:p>
    <w:p>
      <w:r>
        <w:t>(22) At the wholesale level, a separate market has been considered for the distribution of light and light commercial vehicles (but probably without further sub-segmentation within them11), so industrial vehicles could be another separate market12. At the wholesale level, the possibility of considering the sub-segment of the wholesale distribution of used vehicles13 has also been opened.</w:t>
      </w:r>
    </w:p>
    <w:p>
      <w:r>
        <w:t>(23) At the retail level, national and community precedents distinguish between passenger vehicles and industrial vehicles14. Finally, industrial vehicles could be segmented based on tonnage.15 Likewise, the EC16 has also been distinguishing between new vehicles and used vehicles (although without distinguishing between commercial and light vehicles in the used category17). The reason for this distinction lies in the fact that the price of used vehicles is lower than that of new vehicles, and end consumers invest more money in after-sales services due to the lower guarantees associated with the purchase of a used vehicle. Furthermore, there is a large market for used vehicles that allows them to be easily acquired outside the network of authorized dealers.</w:t>
      </w:r>
    </w:p>
    <w:p>
      <w:r>
        <w:t>(24) The complaint filed by MHSL falls within the scope of the automotive sector, and more specifically, in the product markets for the wholesale distribution of new industrial vehicles.</w:t>
      </w:r>
    </w:p>
    <w:p>
      <w:r>
        <w:t>(25) However, this Chamber does not consider it necessary to establish a specific product market definition, as its delimitation does not affect the conclusions of the analysis presented.</w:t>
      </w:r>
    </w:p>
    <w:p>
      <w:r>
        <w:t>3.2.1.2. Geographic market</w:t>
      </w:r>
    </w:p>
    <w:p>
      <w:r>
        <w:t>(26) The precedents of the CNMC and the EC cited leave the definition of markets open from a geographic perspective, indicating that they can be regional, national, or European.</w:t>
      </w:r>
    </w:p>
    <w:p>
      <w:r>
        <w:t>(27) At the wholesale level, it is analyzed with a generally national perspective18, although the EC points out that the supranational perspective cannot be overlooked because the conditions for the wholesale distribution of motor vehicles occur at the EEA19 level and due to other circumstances20.</w:t>
      </w:r>
    </w:p>
    <w:p>
      <w:r>
        <w:t>(28) At the retail level, the EU, national, or regional dimension has been left open. The EC has indicated a greater trend towards the European dimension for the exemption for vertical agreements in the distribution of motor vehicles21. At the same time, both the CNMC and the EC have also stated that it should be considered that the retail distribution markets for vehicles may have a national dimension primarily because prices, marketing, and advertising campaigns are usually established specifically for each Member State and are developed at the national level22. Notwithstanding the above, both the CNMC and the EC have suggested that the existence of regional dimension markets could also be considered in cases where customers are not willing to move23. For example, in the case of the retail sale of used vehicles, a regional24 or national25 dimension tended to be considered.</w:t>
      </w:r>
    </w:p>
    <w:p>
      <w:r>
        <w:t>(29) In any case, this Chamber does not consider it necessary to establish a specific geographic market definition for the wholesale distribution market of industrial vehicles, as its delimitation does not affect the conclusions of the analysis presented.</w:t>
      </w:r>
    </w:p>
    <w:p>
      <w:r>
        <w:t>3.2.2. After-sales services market for industrial vehicles</w:t>
      </w:r>
    </w:p>
    <w:p>
      <w:r>
        <w:t>3.2.2.1. Product market</w:t>
      </w:r>
    </w:p>
    <w:p>
      <w:r>
        <w:t>(30) The market for repair, maintenance, and supply of spare parts services is usually collectively referred to as the after-sales services market, and they can be delineated according to the brand.</w:t>
      </w:r>
    </w:p>
    <w:p>
      <w:r>
        <w:t>(31) From the perspective of demand or the consumer, both private and professional, there is usually a preference to go to a workshop prepared to repair and maintain the brand of the vehicle they own, at least during the warranty period of the vehicle.</w:t>
      </w:r>
    </w:p>
    <w:p>
      <w:r>
        <w:t>(32) The demand would be composed of the owners of the brand vehicles who, when they need to carry out maintenance or a repair on their vehicle, can go to these service providers.</w:t>
      </w:r>
    </w:p>
    <w:p>
      <w:r>
        <w:t>(33) From the supply perspective, competition is structured around the authorized services of a particular brand and the so-called independent operators. The former are service providers for the repair and maintenance of motor vehicles that operate within a distribution system established by a motor vehicle supplier, while independent workshops provide these same services outside the distribution system of the relevant supplier.</w:t>
      </w:r>
    </w:p>
    <w:p>
      <w:r>
        <w:t>(34) Likewise, it could also be raised the possibility of differentiating between the supply of original spare parts and spare parts of equivalent quality, to the extent that a significant part of the demand does not see them as substitutes, for reasons of reliability and brand image.</w:t>
      </w:r>
    </w:p>
    <w:p>
      <w:r>
        <w:rPr>
          <w:b/>
        </w:rPr>
        <w:t>[Pages 10–12]</w:t>
      </w:r>
    </w:p>
    <w:p>
      <w:r>
        <w:t xml:space="preserve">S/0019/21  </w:t>
        <w:br/>
        <w:t>DAF TRUCKS NV AND DAF VEHICULOS INDUSTRIALES</w:t>
      </w:r>
    </w:p>
    <w:p>
      <w:r>
        <w:t>(35) Both the CNMC and the CE have considered that the distribution of spare parts and accessories, as well as the provision of repair and maintenance services, constitute distinct and separate markets from the retail distribution of automobiles through official dealerships26. The CE has opened the possibility of distinguishing between comprehensive maintenance and light repair27.</w:t>
      </w:r>
    </w:p>
    <w:p>
      <w:r>
        <w:t>(36) The complaint filed by MHSL falls within the scope of the automotive sector, and more specifically, in the markets for after-sales services and repair of industrial vehicles28.</w:t>
      </w:r>
    </w:p>
    <w:p>
      <w:r>
        <w:t>(37) However, this Chamber does not consider it necessary to establish a specific product market definition, as its delimitation does not affect the conclusions of the analysis presented.</w:t>
      </w:r>
    </w:p>
    <w:p>
      <w:r>
        <w:t>3.2.2.2. Geographic market</w:t>
      </w:r>
    </w:p>
    <w:p>
      <w:r>
        <w:t>(38) The precedents from the CNMC and the CE cited leave the definition of markets open from a geographic perspective, indicating that they can be regional or national29.</w:t>
      </w:r>
    </w:p>
    <w:p>
      <w:r>
        <w:t>(39) In any case, this Chamber does not consider it necessary to establish a specific geographic market definition for the after-sales services market for industrial vehicles, as its delimitation does not affect the conclusions of the analysis presented.</w:t>
      </w:r>
    </w:p>
    <w:p>
      <w:r>
        <w:t>3.3. Regulatory framework</w:t>
      </w:r>
    </w:p>
    <w:p>
      <w:r>
        <w:t xml:space="preserve">(40) The most relevant regulatory framework for the analysis of the present file is as follows:  </w:t>
        <w:br/>
        <w:t xml:space="preserve">• Regulation 461/2010 of the Commission, of May 27, 2010, regarding the application of Article 101(3) of the Treaty on the Functioning of the European Union to certain categories of vertical agreements and concerted practices in the motor vehicle sector.  </w:t>
        <w:br/>
        <w:t xml:space="preserve">• Regulation 330/2010 of the Commission, of April 20, 2010, regarding the application of Article 101(3) of the Treaty on the Functioning of the European Union to certain categories of vertical agreements and concerted practices.  </w:t>
        <w:br/>
        <w:t>• Regulation 2022/720 of the Commission of May 10, 2022, regarding the application of Article 101(3) of the Treaty on the Functioning of the European Union to certain categories of vertical agreements and concerted practices30.</w:t>
      </w:r>
    </w:p>
    <w:p>
      <w:r>
        <w:t>4. REPORTED FACTS</w:t>
      </w:r>
    </w:p>
    <w:p>
      <w:r>
        <w:t>(41) MHSL has been providing the activity of official dealership for the sale, repair, and sale of spare parts for industrial vehicles (trucks) of the DAF brand, integrated into the official Spanish network of the brand by virtue of a contract signed between July and August 2011 (folios 33-97). The territorial scope of MECÁNICAS HERCAS, S.L. includes the provinces of Zaragoza and Soria.</w:t>
      </w:r>
    </w:p>
    <w:p>
      <w:r>
        <w:t>(42) In its complaint, MHSL asserts, first, that "the Spanish DAF after-sales service network is a qualitative selective network under the definition of Regulation 461/2010 on the exemption by categories regarding vertical agreements in after-sales in the automotive sector" and continues by stating that "However, DAF does not comply with the competition rules as the holder of a selective network (the aforementioned Regulation 461/2010 and thereby Articles 1 of the LDC and 101 of the TFEU). Regarding this regulatory non-compliance, DAF makes an explicit acknowledgment denying adherence to the rules, unlike all its competitors. For example, it does not accept in Spain that companies that meet the qualitative standards join the official after-sales network, as prescribed by community regulations"31.</w:t>
      </w:r>
    </w:p>
    <w:p>
      <w:r>
        <w:t>(43) Secondly, MHSL claims that "DAF has violated Regulation 330/2010, the general exemption by categories regarding vertical agreements, and thereby Article 1 of the LDC and Article 101 of the TFEU, by preventing members of its dealership network from participating in the distribution of vehicles of other brands (specifically in this case the FORD TRUCKS brand) during the validity of the contract. In the case of the complainant, this has resulted in their expulsion from the Network, which will be finalized on September 23, 2021, the date on which the notice period that has been notified to them concludes."</w:t>
      </w:r>
    </w:p>
    <w:p>
      <w:r>
        <w:t xml:space="preserve">30 Regulation 2022/720 replaces Regulation 330/2010, which expired on May 31, 2022, and will remain in force until May 31, 2034.  </w:t>
        <w:br/>
        <w:t>31 Folios 5 to 6.</w:t>
      </w:r>
    </w:p>
    <w:p>
      <w:r>
        <w:t>(44) According to the complainant, throughout 2019 they explored the possibility of establishing a new company, formally separate from MHSL, dedicated to the importation of trucks of the FORD TRUCKS brand (belonging to Ford Motor Company).</w:t>
      </w:r>
    </w:p>
    <w:p>
      <w:r>
        <w:t>(45) On July 5, 2019, the head of commercial services and business development of DAVISA32 summoned MHSL along with two other companies33 to assess the future relationship of DAF-NV with the cited companies34. According to MHSL, during the meeting DAVISA, on behalf of DAF-NV, expressed the infeasibility of its dealership companies distributing products and services of other brands according to the brand standards35.</w:t>
      </w:r>
    </w:p>
    <w:p>
      <w:r>
        <w:t>(46) In an email dated July 18, 2019, the head of commercial services and business development of DAVISA requested from MHSL information about its financial capacity, physical resources, human resources, and commercial policy in order to understand how the marketing of a new brand could affect the existing contractual relationship between DAF-NV and MHSL36.</w:t>
      </w:r>
    </w:p>
    <w:p>
      <w:r>
        <w:t>(47) According to the documentation provided by the complainant, DAF-NV notified MHSL on September 23, 2019, of the unilateral termination of the dealership contract that binds them, with two years' notice, in accordance with clause 26.1 of the DAF Dealer Agreement37 with identification number 201200273838.</w:t>
      </w:r>
    </w:p>
    <w:p>
      <w:r>
        <w:t>(48) On October 2, 2019, MHSL requested by letter an explanation from DAF-NV regarding the unilateral suspension of the contract that binds them, as in the complainant's opinion there was no justification for it39.</w:t>
      </w:r>
    </w:p>
    <w:p>
      <w:r>
        <w:t xml:space="preserve">(49) On November 13, 2019, MHSL received a letter from DAF-NV, in response to its previous letter, detailing the reasons for the decision made. In the letter, DAF-NV states that since they invoke Article 26.1 of the contract (and not 26.2) and give two years' notice, no additional justifications would be necessary. However, DAF-NV adds that it has made the decision to terminate the contract as it considers that MHSL undervalues the  </w:t>
        <w:br/>
        <w:t xml:space="preserve">32 The dealership contracts are established between the dealers (such as MHSL) directly with DAF-NV, not with DAVISA.  </w:t>
        <w:br/>
        <w:t xml:space="preserve">33 AUTORREGE, S.A. and MABESOA, S.L.  </w:t>
        <w:br/>
        <w:t xml:space="preserve">34 Folios 22 and 321-323.  </w:t>
        <w:br/>
        <w:t xml:space="preserve">35 Folio 23.  </w:t>
        <w:br/>
        <w:t xml:space="preserve">36 Folio 324.  </w:t>
        <w:br/>
        <w:t xml:space="preserve">37 DAF Dealer Agreement is the name given to the dealership agreement signed between DAF-NV and MHSL.  </w:t>
        <w:br/>
        <w:t xml:space="preserve">38 Folio 325.  </w:t>
        <w:br/>
        <w:t>39 Folios 332 and 333.</w:t>
      </w:r>
    </w:p>
    <w:p>
      <w:r>
        <w:rPr>
          <w:b/>
        </w:rPr>
        <w:t>[Pages 13–15]</w:t>
      </w:r>
    </w:p>
    <w:p>
      <w:r>
        <w:t xml:space="preserve">S/0019/21  </w:t>
        <w:br/>
        <w:t>DAF TRUCKS NV AND DAF VEHICULOS INDUSTRIALES</w:t>
      </w:r>
    </w:p>
    <w:p>
      <w:r>
        <w:t>difficulties in simultaneously attending to two brands of industrial vehicles, something that, according to the respondent, is unusual in the sector. All of this would have caused a loss of trust on the part of DAF-NV in MHSL40.</w:t>
      </w:r>
    </w:p>
    <w:p>
      <w:r>
        <w:t>(50) For its part, DAF-NV, in its written response to the request for information issued by the DC on June 28, 2022, states that, contrary to MHSL's assertions, it only operates under a selective distribution system in the market for the distribution of new industrial vehicles (i.e., through official dealers). In contrast, the provision of after-sales services (repair, maintenance, and sale of spare parts) would be structured under an open distribution system, in the words of DAF-NV41.</w:t>
      </w:r>
    </w:p>
    <w:p>
      <w:r>
        <w:t>5. LEGAL GROUNDS</w:t>
      </w:r>
    </w:p>
    <w:p>
      <w:r>
        <w:t>5.1. Competence to Resolve</w:t>
      </w:r>
    </w:p>
    <w:p>
      <w:r>
        <w:t>(51) According to Article 5.1.c) of Law 3/2013, of June 4, establishing the National Commission of Markets and Competition, this Agency is competent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Royal Decree 657/2013, of August 30, which approves the Organic Statute of the CNMC, "the Competition Chamber will hear matters related to the application of Law 15/2007, of July 3."</w:t>
      </w:r>
    </w:p>
    <w:p>
      <w:r>
        <w:t>(52) Consequently, the competence to resolve this procedure corresponds to the Competition Chamber of the CNMC Council.</w:t>
      </w:r>
    </w:p>
    <w:p>
      <w:r>
        <w:t>5.2. Proposal of the instructing body</w:t>
      </w:r>
    </w:p>
    <w:p>
      <w:r>
        <w:t>(53) In relation to the specific complaint, the DC proposes the filing of the case file as it considers that there are no indications of the reported infringement. It points out that the practice subject to the complaint does not constitute an infringement of Article 1 LDC or Article 101 TFEU, as it is covered by the exemption provided in Regulation (EU) 2022/720 of the Commission of May 10, 2022, regarding the application of Article 101, paragraph 3, of the Treaty on the Functioning of the European Union to certain categories of vertical agreements and concerted practices.</w:t>
      </w:r>
    </w:p>
    <w:p>
      <w:r>
        <w:t>5.3. Assessment by the Competition Chamber</w:t>
      </w:r>
    </w:p>
    <w:p>
      <w:r>
        <w:t>5.3.1. Possible application of Article 1 of the LDC</w:t>
      </w:r>
    </w:p>
    <w:p>
      <w:r>
        <w:t>(54) According to the complaint filed by MHSL, DAF-NV and DAVISA would have "violated Regulation 461/2010," and thereby Article 1 of the LDC and Article 101 of the TFEU, by not allowing MHSL to join the official after-sales service network of DAF-NV in Spain as, according to the complainant, prescribed by community regulations.</w:t>
      </w:r>
    </w:p>
    <w:p>
      <w:r>
        <w:t>(55) Additionally, MHSL claims that DAF-NV and DAVISA would have also "violated Regulation 330/2010," and thereby Article 1 of the LDC and Article 101 of the TFEU by preventing MHSL, by rescinding the dealership contract that linked them, from participating in the distribution of vehicles of other brands during the validity of the contract.</w:t>
      </w:r>
    </w:p>
    <w:p>
      <w:r>
        <w:t>5.3.1.1. Principles</w:t>
      </w:r>
    </w:p>
    <w:p>
      <w:r>
        <w:t>(56) Article 1 of the LDC prohibits any agreement, decision, or collective recommendation, or concerted or consciously parallel practice, that has as its object, produces, or may produce the effect of preventing, restricting, or distorting competition in all or part of the national market.</w:t>
      </w:r>
    </w:p>
    <w:p>
      <w:r>
        <w:t>(57) In the EU, manufacturers distribute their new vehicles through national importers/distributors (sometimes they are independent and sometimes they are subsidiaries of the group itself) who, in turn, manage networks of distributors generally at the national level that are usually referred to as dealers.</w:t>
      </w:r>
    </w:p>
    <w:p>
      <w:r>
        <w:t>(58) These distribution networks are formed by a set of similar agreements between the manufacturer and the various distributors. For the purposes of competition rules, these are vertical agreements, given that the manufacturer and the distributors operate at different levels of the production or distribution chain and are regulated in the aforementioned Regulation 461/2010 regarding vertical agreements in the vehicle sector.</w:t>
      </w:r>
    </w:p>
    <w:p>
      <w:r>
        <w:t>(59) Normally in Spain, most car brands (including industrial vehicles) apply the distribution modality known as "selective distribution," which allows limiting the number of distributors based on qualitative or quantitative selection criteria.</w:t>
      </w:r>
    </w:p>
    <w:p>
      <w:r>
        <w:t>(60) Qualitative criteria are those established to preserve the quality and solvency of the companies integrated into the network (for example, requirements for staff training, conditions for product display, provision of after-sales service according to certain standards, among others). In contrast, quantitative criteria address the advantages granted by volume or the limitation of the number of distributors (for example, the number of distributors in the same sales territory, sales targets, minimum stock levels, etc.).</w:t>
      </w:r>
    </w:p>
    <w:p>
      <w:r>
        <w:t>(61) The criteria for selective distribution must be objective, and the manufacturer is obliged to include in the network all companies that meet the requirements.</w:t>
      </w:r>
    </w:p>
    <w:p>
      <w:r>
        <w:t>(62) Official distributors of the selective network can sell to all end users, but not to resellers outside the official network (i.e., independent resellers, operators acting on their own). Thus, a selective system creates a network that excludes all companies outside of it.</w:t>
      </w:r>
    </w:p>
    <w:p>
      <w:r>
        <w:t>(63) In the case of vertical agreements, Regulation 461/2010 refers for the analysis of vertical agreements in the automotive sector to Regulation 330/2010 (a reference that should now also be understood as including Regulation 2022/720) and to the additional particularly serious restrictions set out in its Article 5.</w:t>
      </w:r>
    </w:p>
    <w:p>
      <w:r>
        <w:t>(64) Regulation 330/2010 establishes in its Article 2 a safe harbor for vertical agreements in the event that neither the market share of the supplier nor that of the buyer exceeds the market share threshold of 30% established in Article 3 of the regulation in their respective buying and selling markets, and the agreement does not contain particularly serious restrictions in the sense of its Article 4, nor excluded restrictions in the sense of its Article 5 that cannot be separated from the rest of the agreement. Furthermore, the type of distribution system used must be taken into account, to the extent that particularly serious restrictions differ depending on the system used.</w:t>
      </w:r>
    </w:p>
    <w:p>
      <w:r>
        <w:t>(65) If the reference market share of the supplier or the buyer exceeds the 30% threshold or the agreement includes one or more particularly serious restrictions or excluded restrictions that cannot be separated from the rest of the agreement, it will be necessary to assess whether the vertical agreement falls within the scope of Articles 1 LDC and/or 101.1 TFEU. And, if that is the case, if the parties allege it, it will also be necessary to examine whether it meets the conditions for exemption established in Article 1.3 LDC and/or 101.3 TFEU.</w:t>
      </w:r>
    </w:p>
    <w:p>
      <w:r>
        <w:t>Temporal scope of application of the regulations</w:t>
      </w:r>
    </w:p>
    <w:p>
      <w:r>
        <w:t>(66) Article 10 of Regulation 720/2022 establishes a transitional application period: "The prohibition established in Article 101, paragraph 1, of the Treaty shall not apply during the period from June 1, 2022, to May 31, 2023, to agreements already in force on May 31, 2022, that do not meet the exemption requirements established in this Regulation, but that in</w:t>
      </w:r>
    </w:p>
    <w:p>
      <w:r>
        <w:rPr>
          <w:b/>
        </w:rPr>
        <w:t>[Pages 16–18]</w:t>
      </w:r>
    </w:p>
    <w:p>
      <w:r>
        <w:t xml:space="preserve">S/0019/21  </w:t>
        <w:br/>
        <w:t>DAF TRUCKS NV AND DAF VEHICULOS INDUSTRIALES</w:t>
      </w:r>
    </w:p>
    <w:p>
      <w:r>
        <w:t>on that date did meet the conditions established in Regulation (EU) No 330/2010.”</w:t>
      </w:r>
    </w:p>
    <w:p>
      <w:r>
        <w:t>(67) Thus, Regulation 330/2010 will continue to apply during the period from June 1, 2022, to May 31, 2023, regarding those agreements already in force on May 31, 2022, that meet the conditions for exemption stipulated therein (even if they do not meet those of Regulation 2022/720). On the other hand, the provisions set forth in Regulation 2022/720 that are more favorable to the parties will apply from its entry into force.</w:t>
      </w:r>
    </w:p>
    <w:p>
      <w:r>
        <w:t>5.3.1.2. Application to this case</w:t>
      </w:r>
    </w:p>
    <w:p>
      <w:r>
        <w:t xml:space="preserve">(68) In order to determine whether DAF-NV and DAVISA have infringed Article 1 of the LDC and Article 101 of the TFEU by engaging in the conduct indicated in paragraphs (54), (55), and (55), the following must be analyzed:  </w:t>
        <w:br/>
        <w:t xml:space="preserve">• Whether Regulation 330/2010 (and/or Regulation 2022/720 to the extent that it is more favorable) applies to the conduct and agreements in question and, in that case, whether the conduct could be covered by the exemption provided therein.  </w:t>
        <w:br/>
        <w:t xml:space="preserve">• To this end, the first thing to determine is the type of distribution system employed by DAF both in the manufacturing market and in the repair market, to the extent that the particularly serious restrictions that result in the loss of the benefit of the exemption differ depending on the distribution system employed.  </w:t>
        <w:br/>
        <w:t xml:space="preserve">• Subsequently, it will be necessary to assess whether other causes considered in Regulation 330/2010 (and/or Regulation 2022/720 to the extent that it is more favorable) for the withdrawal of the exemption that applies to vertical agreements are present.  </w:t>
        <w:br/>
        <w:t>• If the conduct is not covered by the exemption, it will be necessary to analyze it individually to determine whether it may constitute restrictions of competition by object or by effect and, even in that case, if the parties allege it, it will be necessary to analyze whether there are efficiencies that offset the negative effects of the conduct (i.e., whether Article 1.3 LDC and/or 101.3 TFEU applies).</w:t>
      </w:r>
    </w:p>
    <w:p>
      <w:r>
        <w:t xml:space="preserve">S/0019/21  </w:t>
        <w:br/>
        <w:t>DAF TRUCKS NV AND DAF VEHICULOS INDUSTRIALES</w:t>
      </w:r>
    </w:p>
    <w:p>
      <w:r>
        <w:t>Application of the Block Exemption Regulations42</w:t>
      </w:r>
    </w:p>
    <w:p>
      <w:r>
        <w:t>(69) Regulation 330/2010 defines vertical agreements as “agreements or concerted practices entered into between two or more companies operating, for the purposes of the agreement or concerted practice, at different levels of the production or distribution chain and relating to the conditions under which the parties may acquire, sell or resell certain goods or services.”</w:t>
      </w:r>
    </w:p>
    <w:p>
      <w:r>
        <w:t>(70) In this case, DAF operates at the upstream level (manufacturing) and MHSL at the downstream level (distribution), and the conduct refers to clauses concerning the conditions under which MHSL may purchase or resell the contractual goods and services, so we are dealing with a vertical agreement that falls within the scope of the aforementioned regulation.</w:t>
      </w:r>
    </w:p>
    <w:p>
      <w:r>
        <w:t>The distribution system employed by DAF</w:t>
      </w:r>
    </w:p>
    <w:p>
      <w:r>
        <w:t>(71) MHSL alleges that DAF operates a selective distribution system (both in the manufacturing market and in the after-sales services market), and Article 1.1.e) of Regulation 330/2010 (as well as 1.1.g) of Regulation 720/2022) defines a selective distribution system as “a distribution system whereby the supplier undertakes to sell the contractual goods or services, directly or indirectly, only to selected distributors based on specific criteria, and the distributors undertake not to sell such goods or services to unauthorized agents in the territory in which the supplier has decided to apply this system.”</w:t>
      </w:r>
    </w:p>
    <w:p>
      <w:r>
        <w:t>(72) Consequently, there are two criteria that must be cumulatively met for a distribution system to be considered selective. First, the supplier's commitment to sell its goods and/or services exclusively through a set of previously selected distributors. Second, the selected distributors cannot sell those goods and/or services to unauthorized third parties in the territory in which the supplier has decided to apply this system; in other words, the distributors lack full freedom of distribution.</w:t>
      </w:r>
    </w:p>
    <w:p>
      <w:r>
        <w:t>(73) Regarding the first requirement that Regulation 330/2010 establishes to speak of a selective distribution system, DAF-NV in its response to the information request made by the CNMC, dated June 28, 2022, states that its after-sales service network does not operate under a selective distribution model but under an open model. Specifically, DAF-NV asserts that “DAF operates an open distribution system and does not apply selective distribution for after-sales services (these services include repair and maintenance, as well as resale of spare parts). DAF only uses a selective distribution system for the resale of new vehicles to dealers in its network.” It adds: “For the provision of after-sales services, DAF does not limit the number of its Service Partner distributors (DAF appoints its Service Partners where required based on customer needs) and does not restrict them from selling spare parts or accessories to third-party resellers outside its network. That is to say, DAF allows its Service Partners to resell to any third party, regardless of whether they repair trucks or not. Therefore, DAF operates an open system.”</w:t>
      </w:r>
    </w:p>
    <w:p>
      <w:r>
        <w:t>(74) In this regard, and as the complainant itself acknowledges in its complaint, Clause 2.1 of the DAF Dealer Agreement ensures43: [CONFIDENTIAL]. Notwithstanding that the Regulation may also apply to open distribution systems, the above does indicate that DAF-NV would not apply a selective distribution system for its after-sales services.</w:t>
      </w:r>
    </w:p>
    <w:p>
      <w:r>
        <w:t>(75) For its part, MHSL alleges in its writing that DAF-NV is actually using the concept of an open network to prevent them from freely accessing the provision of after-sales services, thereby reducing effective competition.</w:t>
      </w:r>
    </w:p>
    <w:p>
      <w:r>
        <w:t>(76) This Chamber, however, has found that there are indeed independent operators in the after-sales services market for DAF-NV industrial vehicles in Spain44. Furthermore, as the DC has verified, the complainant itself, MHSL, was offering, as of the date of the filing proposal, its own after-sales services for DAF-NV industrial vehicles, as advertised on its website45. Consequently, it can be stated that the first of the requirements to speak of the existence of a selective distribution system for DAF-NV's after-sales services in Spain would not be met, as the after-sales service network is not restricted to official workshops; rather, there are different independent operators in the market, as is the case with the complainant itself.</w:t>
      </w:r>
    </w:p>
    <w:p>
      <w:r>
        <w:t>(77) The second requirement that Regulation 330/2010 establishes to speak of a selective distribution system consists of the existence of some type of restriction that suppliers impose on their distributors to resell those same goods and/or services to third parties.</w:t>
      </w:r>
    </w:p>
    <w:p>
      <w:r>
        <w:t>(78) In this line, Clause 2.1 of the DAF Dealer Agreement states that [CONFIDENTIAL]. That is to say, the contract between DAF-NV and its distributors does not limit the resale activities of the latter.</w:t>
      </w:r>
    </w:p>
    <w:p>
      <w:r>
        <w:rPr>
          <w:b/>
        </w:rPr>
        <w:t>[Pages 19–21]</w:t>
      </w:r>
    </w:p>
    <w:p>
      <w:r>
        <w:t xml:space="preserve">S/0019/21  </w:t>
        <w:br/>
        <w:t>DAF TRUCKS NV AND DAF VEHICULOS INDUSTRIALES</w:t>
      </w:r>
    </w:p>
    <w:p>
      <w:r>
        <w:t>contrary, it establishes the possibility of reselling to third parties without mentioning any limitation. Therefore, the second requirement would also not be met.</w:t>
      </w:r>
    </w:p>
    <w:p>
      <w:r>
        <w:t>(79) Thus, in light of the previous explanations, it can be concluded that DAF operates (i) a selective distribution system in the market for the purchase, sale, or resale of new motor vehicles, and (ii) an open distribution system in the after-sales market for motor vehicles.</w:t>
      </w:r>
    </w:p>
    <w:p>
      <w:r>
        <w:t>Application of the exemption provided in the Block Exemption Regulations46</w:t>
      </w:r>
    </w:p>
    <w:p>
      <w:r>
        <w:t>(80) First, it is necessary to determine DAF's market shares in the market for the sale of new motor vehicles and MHSL's market share in the market for the purchase of motor vehicles.</w:t>
      </w:r>
    </w:p>
    <w:p>
      <w:r>
        <w:t>(81) Using the registration information provided by the General Directorate of Traffic (DGT) in Spain47, it is estimated that DAF-NV's market share in the industrial vehicle distribution market in Spain in 2021 was significantly below 30% for both light and heavy industrial vehicles48. For its part, MHSL's market share is even further from 30% in both the industrial vehicle distribution49 market and the after-sales services50 market.</w:t>
      </w:r>
    </w:p>
    <w:p>
      <w:r>
        <w:t xml:space="preserve">46 Regulation 330/2010 (and 2022/720 to the extent more favorable) and Regulation 461/2010.  </w:t>
        <w:br/>
        <w:t xml:space="preserve">47 Registration data in Spain can be obtained at https://sedeapl.dgt.gob.es/.  </w:t>
        <w:br/>
        <w:t xml:space="preserve">48 According to the information provided by DAF-NV, DAF-NV's market share in Spain for 2021 was [CONFIDENTIAL]% for light industrial vehicles and [CONFIDENTIAL]% for heavy industrial vehicles. For its part, DAVISA only performs internal management activities for the entities that make up the DAF group and does not provide distribution or after-sales services to end customers.  </w:t>
        <w:br/>
        <w:t xml:space="preserve">49 According to the information in the Commercial Register, MHSL's turnover in Spain in 2021 was [CONFIDENTIAL] million euros compared to [CONFIDENTIAL] million euros for DAF-NV in Spain for the same period. This figure for MHSL would include both vehicle distribution and after-sales services, so MHSL's turnover in the retail distribution of vehicles would be less than [CONFIDENTIAL] million euros. Considering that DAF-NV's market share in Spain for 2021 was [CONFIDENTIAL]% for light industrial vehicles and [CONFIDENTIAL]% for light vehicles, MHSL's market share in Spain would be (taking into account the respective turnover figures) between [CONFIDENTIAL]% and [CONFIDENTIAL]%. Even considering the market at a regional level, given that Aragón accounts for 1.8% of registrations (with 2022 data from https://sedeapl.dgt.gob.es/), MHSL's share would range between [CONFIDENTIAL]% and [CONFIDENTIAL]%, always below 30%.  </w:t>
        <w:br/>
        <w:t>50 According to the information in the Commercial Register, MHSL's turnover in Spain in 2021 was [CONFIDENTIAL] million euros. This figure for MHSL would include both vehicle distribution and after-sales services, so MHSL's turnover in after-sales services would be much lower than [CONFIDENTIAL] million euros, assuming that the turnover will be more dependent on sales than on maintenance services. If we estimate an annual turnover for the after-sales services sector for industrial vehicles of 2,023 million (https://www.infotaller.tv/vehiculo_industrial/talleres-VI-aumentaron-facturacion-encima_0_1747925230.html#:~:text=En%20lo%20relacionado%20con%20la,144%2C5%20millones%20de%20euros, resultado de 3,5 millones de entradas con un ticket medio de 578€), MHSL's share in the after-sales services for industrial vehicles (which MHSL offers multi-brand) would be much lower than 0.3% at the national level. Even considering the market at a regional level, and assigning Aragón 1.8%, MHSL's share would then be much lower than 19.6%.</w:t>
      </w:r>
    </w:p>
    <w:p>
      <w:r>
        <w:t>(82) Once it has been determined that both parties' shares are below 30%, it will be necessary to determine whether the reported behaviors fit into any of the cases contemplated as particularly serious restrictions (Article 4 of the regulation) or excluded restrictions (Article 5 of the regulation). The former would remove the benefit of the exemption from the entire agreement, while the latter only removes it for the clause in question, if it is separable from the rest of the agreement, which would require an individual analysis51.</w:t>
      </w:r>
    </w:p>
    <w:p>
      <w:r>
        <w:t>(83) In this regard, MHSL reports two behaviors, the prohibition imposed by DAF on MHSL to (i) join its after-sales service network (where DAF operates an open distribution system) and (ii) participate in the distribution of vehicles of other competing brands during the term of the contract (where DAF operates a selective distribution system).</w:t>
      </w:r>
    </w:p>
    <w:p>
      <w:r>
        <w:t>(84) Regarding the first reported behavior, as explained in paragraph (76), the complainant, MHSL, offered its own after-sales services for DAF-NV industrial vehicles, as advertised on its website52, so it is not necessary to continue with the analysis of it. In any case, in an open distribution system, any company can purchase or resell the contractual goods and services, as has been demonstrated in this case, and this behavior does not fit within the particularly serious restrictions nor the excluded ones and, therefore, in principle, in this case, it would be covered by the exemption.</w:t>
      </w:r>
    </w:p>
    <w:p>
      <w:r>
        <w:t>(85) The second behavior does not fit into any of the particularly serious behaviors provided in Article 4, but it could constitute an excluded restriction under Article 5 if DAF had prohibited the sale of certain competing brands. In this regard, Article 5 states that "The exemption provided in Article 2 shall not apply to the following obligations contained in vertical agreements: […] c) any direct or indirect obligation that prohibits members of a selective distribution system from selling the brands of certain competing suppliers"53 (emphasis added).</w:t>
      </w:r>
    </w:p>
    <w:p>
      <w:r>
        <w:t>(86) According to paragraph 69 of the Vertical Guidelines, Article 5.1.c) of Regulation 330/2010 refers to the sale of goods that compete with each other in a selective distribution system. The aforementioned regulation encompasses the combination of selective distribution with a non-compete obligation, which generally requires authorized distributors not to resell competing brands. However, if the supplier prevents, directly or indirectly, its authorized distributors from acquiring products from certain competing suppliers for resale, such an obligation cannot be covered by the regulation. According to the aforementioned paragraph 69, the purpose of excluding this clause from the scope of the regulation is to prevent a number of suppliers that use the same selective distribution networks from preventing one or more specific competitors from using these networks to distribute their products, as this could lead to the exclusion of a competing supplier and would constitute a form of collective boycott.</w:t>
      </w:r>
    </w:p>
    <w:p>
      <w:r>
        <w:t>(87) In this sense, the controversy between MHSL and DAF centers on the possibility or not of the former participating in the distribution of vehicles of other brands (without it being questioned that this possibility is not linked to the distribution of vehicles of other brands being of specific brands).</w:t>
      </w:r>
    </w:p>
    <w:p>
      <w:r>
        <w:t>(88) MHSL alleges that "DAF has violated Regulation 330/2010 on the general block exemption for vertical agreements, and thereby Article 1 of the LDC and Article 101 of the TFEU, by preventing members of its dealership network from participating in the distribution of vehicles of other brands (specifically in this case the FORD TRUCKS brand) during the term of the contract. In the case of the complainant, this has resulted in their expulsion from the Network, which will be finalized on September 23, 2021, the date on which the notice that has been notified to them concludes." Consequently, MHSL does not consider that it is facing a restriction on a specific brand (FORD in this case) but rather a general restriction on marketing third-party brands (something that in this specific case has occurred due to MHSL's decision to market FORD, but which could have been triggered by the decision to market any other brand54).</w:t>
      </w:r>
    </w:p>
    <w:p>
      <w:r>
        <w:t xml:space="preserve">53 See paragraph 252 of the 2022 Vertical Guidelines for more information.  </w:t>
        <w:br/>
        <w:t>54 Note that currently, according to the registration data published by the DGT, the truck market in Spain is primarily dominated by seven brands, namely: Scania, Iveco, Renault, Volvo, MAN, DAF, and Mercedes-Benz. However, there are different manufacturers of industrial vehicles that, although they do not market their products (for example, trucks) in Spain, do so with other types of vehicles such as cars. Such is the case with FORD or other brands such as VOLKSWAGEN, NISSAN, or HYUNDAI.</w:t>
      </w:r>
    </w:p>
    <w:p>
      <w:r>
        <w:rPr>
          <w:b/>
        </w:rPr>
        <w:t>[Pages 22–24]</w:t>
      </w:r>
    </w:p>
    <w:p>
      <w:r>
        <w:t xml:space="preserve">S/0019/21  </w:t>
        <w:br/>
        <w:t>DAF TRUCKS NV AND DAF VEHICULOS INDUSTRIALES</w:t>
      </w:r>
    </w:p>
    <w:p>
      <w:r>
        <w:t>(89) The information contained in the file evidences this (see paragraphs (45) to (49)).</w:t>
      </w:r>
    </w:p>
    <w:p>
      <w:r>
        <w:t>(90) According to MHSL, in the meeting held with DAVISA in July 2019, the latter stated, on behalf of DAF-NV, the possible infeasibility of its dealership companies distributing products and services of other brands according to the brand standards55. Indeed, in an email dated July 18, 2019, the head of commercial services and business development of DAVISA requested information from MHSL on how various variables (financial capacity, physical resources, human resources, and commercial policy) would be affected by the marketing of another brand56. That is to say, it inquires about generic issues that in no case correspond to specific attributes of a brand (in this case, the FORD brand). And all this in relation to how the marketing of a new brand could affect the common activity of DAF-NV and MHSL (the marketing of the DAF brand), given that the previous variables (financial capacity, physical resources, human resources, and commercial policy) reflect scarce resources that, when dedicated to one brand (regardless of whether it is FORD or another), can be dedicated to a lesser extent to another (DAF).</w:t>
      </w:r>
    </w:p>
    <w:p>
      <w:r>
        <w:t>(91) In a letter (submitted by the complainant), DAF-NV informs MHSL (in response to a previous letter sent by the complainant dated October 2, 2019) that, although it does not acknowledge having a legal obligation to justify its decision, "earlier this year, it indicated that it intended to acquire another brand of heavy vehicles. We advise you not to do so. As you know, it is not very common in the heavy vehicle business for dealers to take on the responsibility of sales and/or after-sales for more than one brand, as it already demands very significant resources in terms of time (management), money, and energy to successfully represent one brand. We believe you are underestimating this. In fact, we do not trust that you will be able to successfully represent the DAF brand alongside another brand of heavy vehicles, even if this is done formally through another legal entity or with dedicated personnel." It continues by saying, "Do not be mistaken: you are free to manage your business as you see fit, and we respect your decision. But the same should apply to DAF's decision to seek another dealer who is willing and they potential competitors in the industrial vehicle distribution market in Spain.</w:t>
      </w:r>
    </w:p>
    <w:p>
      <w:r>
        <w:t>(92) Thus, there is no evidence in the file that DAF has terminated the contract because MHSL has decided to market a second brand specifically (in this case, FORD), but rather that the decision is motivated by generic considerations related to the fact that the marketing of any brand affects the ability to dedicate resources to the original brand (DAF).</w:t>
      </w:r>
    </w:p>
    <w:p>
      <w:r>
        <w:t>(93) In this regard, there are no rational indications of the commission of an infringement. The market for the distribution of industrial vehicles (trucks) is characterized, among other aspects, by the reasonably homogeneous nature of the goods marketed. Indeed, as also occurs in the automobile market (cars), trucks, for a given category58, are goods that present a high degree of substitutability from the demand side, so segmentation by brand is not applicable. Consequently, there are no reasonable indications that would lead to conclude that DAF-NV's response to MHSL would have been different had MHSL attempted to market industrial vehicles of other brands instead of FORD.</w:t>
      </w:r>
    </w:p>
    <w:p>
      <w:r>
        <w:t>(94) Nor are generic conditions being applied that actually affect specific competitors or specific practices (i.e., indirect measures that have the same effect as a direct prohibition on distributing a specific competing brand). The examination of the conditions that DAF establishes for its authorized distributors contains a series of indications that are generic (organizational structure, availability of certain telephone and IT resources, adequate customer information before loading extra products, characteristics of the waiting area and lighting, space arrangement, etc.) or refer to the DAF brand (brand visibility, use of certain software, etc.), but never refer to attributes that could distinguish one competing brand from another.</w:t>
      </w:r>
    </w:p>
    <w:p>
      <w:r>
        <w:t>(95) In any case, in the very letter from September 2019 (submitted by the complainant), DAF-NV states that none of these conditions have been specifically breached. The decision to terminate the contract is discretionary and DAF-NV motivates it in the decision of MHSL to market other brands (without specifying any in particular) because it impacts the ability to market the DAF brand with the same effort.</w:t>
      </w:r>
    </w:p>
    <w:p>
      <w:r>
        <w:t>(96) Therefore, DAF's decision is a strategy that is generally activated in response to the marketing of any brand. It is not a prohibition that prevents one or several specific competitors from using the distribution networks in question to distribute their products (i.e., we are not facing an attempt to exclude a specific competing supplier that could constitute a form of collective boycott in the sense of paragraph 69 of the Vertical Guidelines).</w:t>
      </w:r>
    </w:p>
    <w:p>
      <w:r>
        <w:t>(97) In conclusion, it can be stated that there is no conduct aimed at preventing the marketing of trucks of a particular brand, but rather of any brand of trucks in general.</w:t>
      </w:r>
    </w:p>
    <w:p>
      <w:r>
        <w:t>(98) Therefore, this conduct does not constitute an excluded restriction (as contemplated in Article 5 of Regulation 330/2010). Thus, in principle, in this case, it would also be covered by the exemption.</w:t>
      </w:r>
    </w:p>
    <w:p>
      <w:r>
        <w:t>Conclusion</w:t>
      </w:r>
    </w:p>
    <w:p>
      <w:r>
        <w:t>(99) For all the above reasons, this Chamber considers that there are no reasonable indications of the existence of an infringement of Article 1 of the LDC, nor of Article 101 of the TFEU, in the reported facts. The conduct of DAF-NV would be covered by the exemption of Regulation 330/2010.</w:t>
      </w:r>
    </w:p>
    <w:p>
      <w:r>
        <w:t>6. AGREEMENT</w:t>
      </w:r>
    </w:p>
    <w:p>
      <w:r>
        <w:t>Sole. The non-initiation of sanctioning proceedings for the alleged commission of the prohibited conduct in Article 1 of Law 15/2007, of July 3, on the Defense of Competition or Article 101 of the TFEU, and the filing of the actions, as no indications of infringement are perceived at this time.</w:t>
      </w:r>
    </w:p>
    <w:p>
      <w:r>
        <w:t>This resolution shall be communicated to the Competition Directorate and notified to the complainant and the reported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