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https://www.cnmc.es/expedientes/s002207</w:t>
      </w:r>
    </w:p>
    <w:p>
      <w:r>
        <w:t>Pages translated : 10</w:t>
      </w:r>
    </w:p>
    <w:p/>
    <w:p>
      <w:r>
        <w:rPr>
          <w:b/>
        </w:rPr>
        <w:t>[Pages 1–3]</w:t>
      </w:r>
    </w:p>
    <w:p>
      <w:r>
        <w:t xml:space="preserve">RESOLUTION (Case S/0022/07, Procurador Madrid)  </w:t>
        <w:br/>
        <w:t xml:space="preserve">Council:  </w:t>
        <w:br/>
        <w:t xml:space="preserve">Mr. Luis Berenguer Fuster, President  </w:t>
        <w:br/>
        <w:t xml:space="preserve">Mr. Fernando Torremocha y García-Sáenz, Vice President  </w:t>
        <w:br/>
        <w:t xml:space="preserve">Mr. Emilio Conde Fernández-Oliva, Counselor  </w:t>
        <w:br/>
        <w:t xml:space="preserve">Mr. Miguel Cuerdo Mir, Counselor  </w:t>
        <w:br/>
        <w:t xml:space="preserve">Ms. Pilar Sánchez Núñez, Counselor  </w:t>
        <w:br/>
        <w:t xml:space="preserve">Mr. Julio Costas Comesaña, Counselor  </w:t>
        <w:br/>
        <w:t xml:space="preserve">Ms. María Jesús González López, Counselor  </w:t>
        <w:br/>
        <w:t xml:space="preserve">Ms. Inmaculada Gutiérrez Carrizo, Counselor  </w:t>
        <w:br/>
        <w:t xml:space="preserve">In Madrid, on July 28, 2008  </w:t>
        <w:br/>
        <w:t xml:space="preserve">The Council of the National Competition Commission (the Council), with the composition expressed and with Counselor Ms. Inmaculada Gutiérrez Carrizo as Rapporteur, has issued the following resolution in case S/0022/07 Procurador Madrid, which arises from the complaint filed by Mr. J.A.A.M. and Mr. F.P-P.B., on behalf and representation of Mr. S.D.D. and Ms. A.B.M., in which a complaint is made against the court attorney Mr. A.R.R.M. for alleged anti-competitive practices contrary to Article 1.a) of Law 15/2007, of July 3, on the Defense of Competition (hereinafter LDC).  </w:t>
        <w:br/>
        <w:t xml:space="preserve">FACTUAL BACKGROUND  </w:t>
        <w:br/>
        <w:t xml:space="preserve">1 On June 24, 2008, the Directorate of Investigation submitted the following proposal for archiving to the Council:  </w:t>
        <w:br/>
        <w:t xml:space="preserve">“I.- FACTUAL BACKGROUND  </w:t>
        <w:br/>
        <w:t xml:space="preserve">A written complaint was received in this Directorate of Investigation, dated November 15, 2007, from Mr. J.A.A.M. and Mr. F.P.-P.B., on behalf and representation of Mr. S.D.D. and Ms. A.B.M., in which a complaint is made against the court attorney Mr. A.R.R.M. for alleged anti-competitive practices consisting of attempting to charge supposed professional fees under the tariff of court attorneys, approved by Royal Decree 1373/2003, of November 7, which establishes fixed prices for each action of these professionals, thereby restricting free competition throughout the national market by directly setting the price of a service. According to the complainants, such actions would constitute a violation of Article 1.a of Law 15/2007, of July 3, on the Defense of Competition (hereinafter LDC). Furthermore, the complainants argue that the tariff system for court attorneys is not supported by a regulation with the rank of law in the sense of Article 4 of the LDC, as it is regulated by Royal Decree 1373/2003, of November 7, which approves the tariff of fees for court attorneys, and by the General Statute of Court Attorneys (Article 34), approved by Royal Decree 1281/2002, of December 5, and request the protection of Article 12.3 of the LDC, the challenge before the contentious-administrative jurisdiction of Royal Decree 1373/2003, arguing that it is a general provision from which obstacles to maintaining effective competition in the markets arise.  </w:t>
        <w:br/>
        <w:t xml:space="preserve">II. LEGAL GROUNDS  </w:t>
        <w:br/>
        <w:t xml:space="preserve">1.- Article 1 of the LDC prohibits any agreement, decision, or collective recommendation, or concerted or consciously parallel practice, that has as its object, produces, or may produce the effect of preventing, restricting, or distorting competition in all or part of the national market.  </w:t>
        <w:br/>
        <w:t xml:space="preserve">For the purposes of applying Article 1 of the LDC, the defunct TDC (among others, Resolution Case 596/05, Manufacturing Machine Tool) has stated that “the convergence of plural behaviors is an indispensable condition for a certain conduct to incur in the prohibition of Article 1 of the Law on the Defense of Competition, since it addresses collusive behaviors, that is, those consisting of an agreement of wills between two or more economic agents with the purpose, effect, or ability to negatively affect free competition, which does not occur when the facts are the exclusive result of the unilateral will and conduct of the party to which they are attributed. In this sense, the Court has repeatedly maintained the basic principle that the provisions of Article 1 of the Law on the Defense of Competition are applicable exclusively to bilateral or multilateral agreements, but not to decisions that, regardless of their formal manifestation, are adopted by a single subject (Resolutions issued in cases r 374, r 397, and r 538, among many others and, in the same sense, Judgment of the National Court of September 22, 2003)”.  </w:t>
        <w:br/>
        <w:t xml:space="preserve">In this case, the individual actions and behavior of a court attorney are reported, consisting of “attempting to charge his fee according to a previously established tariff.” Therefore, according to the doctrine of the defunct TDC, the conduct does not incur in the prohibition of Article 1 of the LDC.  </w:t>
        <w:br/>
        <w:t xml:space="preserve">Moreover, even if a concert of wills among court attorneys had been reported, with or without a collegial nature, for the collection of tariffs in accordance with Royal Decree 1373/2003, following the doctrine of the defunct TDC (Resolution of December 16, 2000, Case 477/99), there would have been no infringement of Article 1 of the LDC.  </w:t>
        <w:br/>
        <w:t xml:space="preserve">III. PROPOSAL  </w:t>
        <w:br/>
        <w:t xml:space="preserve">Therefore, in accordance with the provisions of Article 49.3 of Law 15/2007, of July 3, on the Defense of Competition, it is proposed:  </w:t>
        <w:br/>
        <w:t xml:space="preserve">1.- Not to initiate sanctioning proceedings, as well as to archive the actions followed as a result of the complaint filed by Mr. J.A.A.M. and Mr. F.P.-P.B., on behalf and representation of Mr. S.D.D. and Ms. A.B.M., considering that there are no indications of infringement of the aforementioned Law. For these purposes, the complaint and the actions taken by this Directorate are submitted.  </w:t>
        <w:br/>
        <w:t>2.- To inform the Directorate of Promotion of the National Competition Commission of the request made in the complaint for judicial challenge of Royal Decree 1373/2003, of November 7, which approves the tariff of fees for court attorneys.”</w:t>
      </w:r>
    </w:p>
    <w:p>
      <w:r>
        <w:rPr>
          <w:b/>
        </w:rPr>
        <w:t>[Pages 4–6]</w:t>
      </w:r>
    </w:p>
    <w:p>
      <w:r>
        <w:t>The Council deliberated and ruled on the matter in its meeting on July 17, 2008.</w:t>
      </w:r>
    </w:p>
    <w:p>
      <w:r>
        <w:t>LEGAL GROUNDS</w:t>
      </w:r>
    </w:p>
    <w:p>
      <w:r>
        <w:t>FIRST.- As the Investigation Directorate points out, this file reports the actions and individual behavior of a solicitor, who intends to charge his fee according to an established tariff. This behavior lacks the bilateral nature required by Article 1 of the LDC, that is, a concurrence of wills aimed at, producing, or capable of producing the effect of preventing, restricting, or distorting competition. Therefore, it is not possible to speak of indications of infringement of Article 1.a) of the LDC in the individual actions of a solicitor for applying a tariff, nor to hold him responsible for the existence of the tariff system.</w:t>
      </w:r>
    </w:p>
    <w:p>
      <w:r>
        <w:t>Number 3 of Article 49 of the Law on the Defense of Competition provides that the Council, at the proposal of the Directorate of Investigation of the National Competition Commission, may decide not to initiate sanctioning proceedings for the alleged commission of the prohibited behaviors in Articles 1, 2, and 3 of the Law and, consequently, to archive the actions carried out by the Directorate of Investigation when it considers that there are no indications of infringement of Law 15/2007. Therefore, in view of the proposal from the Directorate of Investigation and not finding indications of infringement of Law 15/2007 in the reported facts, the Council has decided not to initiate proceedings and to archive the actions in accordance with the provisions of Article 49.3 of the aforementioned Law.</w:t>
      </w:r>
    </w:p>
    <w:p>
      <w:r>
        <w:t>SECOND.- With due respect to the rights of the parties, the Council wishes to highlight the deviation that it entails to instrumentalize Law 15/2007 to resolve conflicts between parties that, as in the present case, have nothing to do with infringements of competition regulations and that detract from necessary resources for achieving the true objective of Law 15/2007: to ensure the proper functioning of markets.</w:t>
      </w:r>
    </w:p>
    <w:p>
      <w:r>
        <w:t>THIRD.- A separate issue is the assessment that this Council may have regarding the tariff of fees for solicitors established by regulation with the rank of Royal Decree. The now-defunct Tribunal has ruled on this issue in the past (Resolution of December 16, 2000, Case 477/99) and, recently, has submitted to the Government a Report of Recommendations to public administrations for a more efficient regulation of markets that favors competition, reiterating the recommendation to eliminate tariffs or fixed prices governing the activity of solicitors. However, a reform of procedural legislation for the establishment of the new judicial office is currently being processed, which may affect the competencies of solicitors. In light of this, the Council considers it appropriate for the Directorate of Promotion to analyze whether the current regulatory framework for the activity of solicitors, as well as the one projected within the framework of the reform of procedural legislation for the establishment of the new judicial office, introduces restrictions on competition and, in such case, whether they comply with the principles of necessity and proportionality, minimal distortion of competition, effectiveness, predictability, and transparency.</w:t>
      </w:r>
    </w:p>
    <w:p>
      <w:r>
        <w:t>For all the above reasons, in view of the cited provisions and others of general application, the Council of the National Competition Commission,</w:t>
      </w:r>
    </w:p>
    <w:p>
      <w:r>
        <w:t>RESOLVES</w:t>
      </w:r>
    </w:p>
    <w:p>
      <w:r>
        <w:t>FIRST.- Not to initiate sanctioning proceedings and to archive the actions followed by the Directorate of Investigation as a result of the complaint filed by Mr. J.A.A.M. and Mr. F.P-P.B., on behalf and representation of Mr. S.D.D. and Ms. A.B.M., considering that the reported facts do not show indications of infringement of Law 15/2007, of July 3, on the Defense of Competition.</w:t>
      </w:r>
    </w:p>
    <w:p>
      <w:r>
        <w:t>SECOND.- To urge the Directorate of Promotion to analyze whether the current regulatory framework for the activity of solicitors, as well as the one projected within the framework of the reform of procedural legislation for the establishment of the new judicial office, introduces restrictions on competition and, in such case, whether they comply with the principles of necessity and proportionality, minimal distortion of competition, effectiveness, predictability, and transparency.</w:t>
      </w:r>
    </w:p>
    <w:p>
      <w:r>
        <w:t>Communicate this Resolution to the Directorate of Investigation, to the Directorate of Promotion, and notify the complainant, informing them that this concludes the administrative process, and that they may file a contentious-administrative appeal before the National Court within two months from the date of notification.</w:t>
      </w:r>
    </w:p>
    <w:p>
      <w:r>
        <w:t>CONCURRING OPINION formulated by Counselor Don Fernando Torremocha y García-Sáenz regarding the Resolution adopted on July 24, 2008, by the Plenary of the National Competition Commission, in Case S/0022/07 Procurador Madrid.</w:t>
      </w:r>
    </w:p>
    <w:p>
      <w:r>
        <w:t>In said Resolution, it is DECIDED "not to initiate sanctioning proceedings and to archive the actions followed by the Directorate of Investigation, as a result of the complaint filed... on behalf and representation of Mr. S.D.D. and Ms. A.B. del M., against the court attorney Mr. A.R.R.M., considering that the reported facts do not show indications of infringement of Law 15/2007 of July 3, on the Defense of Competition."</w:t>
      </w:r>
    </w:p>
    <w:p>
      <w:r>
        <w:t>This Counselor understands that, indeed, once sanctioning proceedings have been initiated, they must be archived, but based on the evidence that the complaint should have been inadmissible, in merit to the following considerations:</w:t>
      </w:r>
    </w:p>
    <w:p>
      <w:r>
        <w:t>FIRST.- In merit to the constitutional doctrine of the oath of accounts. Our Constitutional Court, in its Full Judgment of March 25, 1993, addressing the raising of two questions of unconstitutionality (the 419/89 and the 1922/89) raised, respectively, by the Court of First Instance No. 1 of Cáceres and by the Court of First Instance of El Ferrol, with the intervention of the State Attorney General, representing the Government of the Nation, and by the Attorney General of the State, questions related to the constitutionality of Articles 8 and 12 of the Civil Procedure Law (then in force), for alleged violation of Articles 14 and 24 of the Spanish Constitution, RULES that "Articles 8 and 12 of the Civil Procedure Law do not violate the fundamental rights enshrined in Articles 14 and 24 of the Spanish Constitution...."</w:t>
      </w:r>
    </w:p>
    <w:p>
      <w:r>
        <w:rPr>
          <w:b/>
        </w:rPr>
        <w:t>[Pages 7–9]</w:t>
      </w:r>
    </w:p>
    <w:p>
      <w:r>
        <w:t>Preceding this, in the Legal Foundation it establishes in summary: “in both issues of unconstitutionality, the procedure known as the oath of accounts is questioned, which grants court attorneys, against their defaulting client, and lawyers, against the attorney and if he does not intervene against the party they defend, the Articles 8 and 12 LEC. “in both issues, the possible grounds for unconstitutionality are based on the same provisions of the Spanish Constitution: Article 14, which enshrines the principle of equality of Spaniards before the Law; and Article 24, which guarantees effective judicial protection in the manner determined in its two sections. “Article 14 allows for the joint treatment of both issues. It is substantially argued that Articles 8 and 12 LEC establish a privilege in favor of attorneys and lawyers, through a different regulation for the collection of their credits which, by not conforming to the general provisions established for other creditors, constitutes a violation of the equality before the Law of all citizens, enshrined in Article 14 CE. “The first thing to say is that this special regulation is not legally provided for attorneys and lawyers in general but, either to reimburse attorneys from their defaulting principal the amounts owed to them for their fees and for the expenses they have incurred for their litigation (ex Article 8); or, regarding lawyers, for the payment of the fees that have accrued in the litigation (ex Article 12). It is the litigation and the expenses... within the same Court where they have occurred, that are subject to a special regulation and judicial actions which, it goes without saying, do not extend to possible or extrajudicial accruals made by those same professionals. It is the litigation and not the condition or profession of those who hold those credits, that justifies and delimits the scope of this special regulation. “Not every legislative unequal treatment regarding the regulation of a specific matter (in this case related to the collection of credits) constitutes a violation of the mandate contained in Article 14 CE, but only those that introduce a difference between situations that can be considered equal and without offering and possessing an objective and reasonable justification for it. What the principle of equality prohibits are inequalities that are artificial or unjustified for not being based on objective and reasonable criteria, according to generally accepted criteria or value judgments. The principle of equality not only requires that the difference in treatment be objectively justified, but also that it passes a proportionality judgment in constitutional terms regarding the relationship between the measure adopted, the result produced, and the purpose intended by the legislator (SSTC 76/90, 22 and 34/81, 103/83 and 166/86). “In the procedures of the oath of accounts, it is not about protecting subjective or personal interests to the benefit of the professionals authorized to promote them, but about the obligations that they have fulfilled as cooperators with the Administration of Justice within the process... therefore, there are not only objective and reasonable grounds that justify these procedures, but in reality, it cannot be said that they entail subjective privileges that could fall within the personal discriminations prohibited by Article 14 CE. “In terms of the guarantees established in Article 24 CE... judicial resolutions always require a prior examination by the judge of what is requested from him and of the requirements that justify or support the claim, which is not excluded by the questioned provisions, since one should not confuse the summary nature of this procedure with the obligation to adopt a decision (the opening of the enforcement route). The power to judge is incompatible with automatism... “By virtue of the guarantees of effective judicial protection ex Article 24 CE, the possibility of defense, which cannot be excluded in any case, allows judicial bodies an interpretation of Articles 7, 8, and 12 LEC that makes the simplicity of these processes compatible with the guarantees provided in Article 24 CE. Finally, it is worth noting that the third paragraph of Article 8 LEC establishes a guarantee for the debtor of undeniable effectiveness against improper or reckless claims: any grievance claim and, if they have exceeded their account, they must return double the excess with costs.</w:t>
      </w:r>
    </w:p>
    <w:p>
      <w:r>
        <w:t>CONCLUSION: In light of the actions taken, it can be concluded that the complainants have had their dissenting right protected in the oath of accounts file processed before the Court. Furthermore, if they felt discriminated against or even wronged, they have had available all the actions granted to them by the Legal System. Hence, this untimely and unjustified complaint blatantly violates the provisions of Article 7 of the Civil Code and, if it had occurred before a jurisdictional body, the provisions of Article 247 of Law 1/2000 of January 7, on Civil Procedure would apply.</w:t>
      </w:r>
    </w:p>
    <w:p>
      <w:r>
        <w:t>SECOND.- By virtue of the Legal System. The current Law 1/2000 of January 7, on Civil Procedure develops in Chapter V, of Book One “the procedural representation and technical defense” and provides in its Article 23 for the necessary intervention of the attorney, stating that “the appearance in court shall be through a legally authorized attorney to act in the court that knows of the case.” In Article 27 it states that “in the absence of an express provision regarding the relationships between the principal and the attorney, the rules established for the mandate contract in the applicable civil legislation shall govern.” Thus, the power of attorney under mandate “must be authorized by a notary or conferred by appearance before the Judicial Secretary of the court that is to know the matter, granting apud acta” as provided in Article 24. In another order of things, the following Article 29 under the title of Provision of funds, orders that “the principal is obliged to provide funds to the attorney, in accordance with the provisions of civil legislation for the mandate contract.” Finally, Article 34 provides that “when an attorney has to demand from his defaulting principal the amounts owed to him for the rights and expenses he has incurred for the matter, he shall present before the court... a detailed account. Once the account is presented, the principal shall be required to pay said amount... or contest the account. The Court shall examine the account and the procedural actions, as well as the documentation provided and shall issue an Order... The current Law of Civil Procedure, in accordance with constitutional doctrine, concludes this legal provision by stating that “the Order referred to in the previous paragraph shall not be subject to appeal, BUT NOT</w:t>
      </w:r>
    </w:p>
    <w:p>
      <w:r>
        <w:rPr>
          <w:b/>
        </w:rPr>
        <w:t>[Pages 10–10]</w:t>
      </w:r>
    </w:p>
    <w:p>
      <w:r>
        <w:t>PREJUDICE, nor even partially, the judgment that may be rendered in subsequent ordinary proceedings."</w:t>
      </w:r>
    </w:p>
    <w:p>
      <w:r>
        <w:t>CONCLUSION: the complainants could have resorted to the civil jurisdiction regarding the decision in the Order that concluded the account swearing. Apparently, they did not do so, allowing any right to lapse, while consenting to what was established therein.</w:t>
      </w:r>
    </w:p>
    <w:p>
      <w:r>
        <w:t>THIRD.- The provision of Article 27 of Law 1/2000 of January 7, on Civil Procedure states that "the rules established for the mandate contract in the applicable civil legislation shall govern."</w:t>
      </w:r>
    </w:p>
    <w:p>
      <w:r>
        <w:t>Organic Law 6/1985 of July 1, on the Judiciary, characterizes solicitors as cooperating subjects with the Administration of Justice, exclusively attributing to them the representation of the parties in all types of proceedings, unless the Law authorizes otherwise.</w:t>
      </w:r>
    </w:p>
    <w:p>
      <w:r>
        <w:t>For its part, Law 1/2000 of January 7, on Civil Procedure, provides in its Article 242,4 that "the rights of solicitors shall be regulated in accordance with the tariffs."</w:t>
      </w:r>
    </w:p>
    <w:p>
      <w:r>
        <w:t>Royal Decree 1373/2003 of November 7, approves the tariff.</w:t>
      </w:r>
    </w:p>
    <w:p>
      <w:r>
        <w:t>Thus, by this my Concurring Particular Vote, I pronounce, command, and sign in Madrid on the date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