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https://www.cnmc.es/expedientes/s002219</w:t>
      </w:r>
    </w:p>
    <w:p>
      <w:r>
        <w:t>Pages translated : 13</w:t>
      </w:r>
    </w:p>
    <w:p/>
    <w:p>
      <w:r>
        <w:rPr>
          <w:b/>
        </w:rPr>
        <w:t>[Pages 1–3]</w:t>
      </w:r>
    </w:p>
    <w:p>
      <w:r>
        <w:t xml:space="preserve">RESOLUTION  </w:t>
        <w:br/>
        <w:t xml:space="preserve">Exp. S/0022/19, BLUEBERRIES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María Pilar Canedo Arrillaga  </w:t>
        <w:br/>
        <w:t xml:space="preserve">Vice-Secretary of the Council  </w:t>
        <w:br/>
        <w:t xml:space="preserve">Mr. Miguel Sanchez Blanco  </w:t>
        <w:br/>
        <w:t xml:space="preserve">In Madrid, on November 28, 2019  </w:t>
        <w:br/>
        <w:t xml:space="preserve">The Competition Chamber of the Council of the National Commission of Markets and Competition (CNMC), with the composition expressed, has issued the following resolution in the file S/0022/19, BLUEBERRIES initiated against certain companies for alleged restrictive practices of competition prohibited by Law 15/2007, of July 3, on the Defense of Competition (LDC).  </w:t>
        <w:br/>
        <w:t xml:space="preserve">Index  </w:t>
        <w:br/>
        <w:t xml:space="preserve">I. BACKGROUND .............................................................................................. 2  </w:t>
        <w:br/>
        <w:t xml:space="preserve">II. THE PARTIES .................................................................................................... 2  </w:t>
        <w:br/>
        <w:t xml:space="preserve">1. THE ASSOCIATION FOR THE DEFENSE OF THE AGRICULTURAL SECTOR OF HUELVA (complainant) .......................................................................................................... 2  </w:t>
        <w:br/>
        <w:t xml:space="preserve">2. RÚSTICAS DEL GUADALQUIVIR, S.L. (respondent) ............................................. 2  </w:t>
        <w:br/>
        <w:t xml:space="preserve">III. NORMATIVE FRAMEWORK ................................................................................ 3  </w:t>
        <w:br/>
        <w:t xml:space="preserve">IV. AFFECTED MARKET ......................................................................................... 5  </w:t>
        <w:br/>
        <w:t xml:space="preserve">V. REPORTED AND INVESTIGATED FACTS ......................................................... 9  </w:t>
        <w:br/>
        <w:t xml:space="preserve">VI. LEGAL GROUNDS .......................................................................................... 10  </w:t>
        <w:br/>
        <w:t xml:space="preserve">FIRST.- Competence to resolve, object and proposal of the DC .........................10  </w:t>
        <w:br/>
        <w:t xml:space="preserve">THIRD.- Assessment of the Competition Chamber ...............................................10  </w:t>
        <w:br/>
        <w:t xml:space="preserve">RESOLVES ......................................................................................................... 13  </w:t>
        <w:br/>
        <w:t xml:space="preserve">S/0022/19, BLUEBERRIES National Commission of Markets and Competition Page 1 of 13  </w:t>
        <w:br/>
        <w:t xml:space="preserve">C/ Barquillo, 5 – 28004 Madrid - C/ Bolivia, 56 – 08018 Barcelona  </w:t>
        <w:br/>
        <w:t>www.cnmc.es</w:t>
      </w:r>
    </w:p>
    <w:p>
      <w:r>
        <w:t xml:space="preserve">I. BACKGROUND  </w:t>
        <w:br/>
        <w:t xml:space="preserve">1. On January 20, 2017, the CNMC received a complaint filed by the ASSOCIATION FOR THE DEFENSE OF THE AGRICULTURAL SECTOR OF HUELVA (hereinafter, the Association) against RÚSTICAS DEL GUADALQUIVIR, S.L. (holder of the commercial exploitation of the plant variety of the blueberry species "snowchaser") for an alleged infringement of the LDC due to limitation of production and price fixing by the licensee of the "snowchaser" blueberry variety (folios 1 to 19). On February 2, 2017, the Association provided additional information to the complaint (folios 20 to 55).  </w:t>
        <w:br/>
        <w:t xml:space="preserve">2. The Competition Directorate (hereinafter, DC) made several requests for information:  </w:t>
        <w:br/>
        <w:t xml:space="preserve">- on July 10, 2017, to the Association (folios 56 to 61), whose response was received on July 21, 2017 (folios 62 to 93).  </w:t>
        <w:br/>
        <w:t xml:space="preserve">- on February 9, 2018, to RÚSTICAS DEL GUADALQUIVIR, S.L. (folios 139 to 142) who, after requesting an extension of the deadline, responded on March 9, 2018 (folios 164 to 408).  </w:t>
        <w:br/>
        <w:t xml:space="preserve">3. On October 1, 2019, the DC submitted to the Council a proposal for non-initiation of proceedings and the filing of the actions, considering that there were no indications of infringement of the LDC1.  </w:t>
        <w:br/>
        <w:t>4. The Competition Chamber of the Council of the CNMC deliberated and adopted this Resolution in its meeting of November 28, 2019.</w:t>
      </w:r>
    </w:p>
    <w:p>
      <w:r>
        <w:t xml:space="preserve">II. THE PARTIES  </w:t>
        <w:br/>
        <w:t xml:space="preserve">1. THE ASSOCIATION FOR THE DEFENSE OF THE AGRICULTURAL SECTOR OF HUELVA (complainant)  </w:t>
        <w:br/>
        <w:t xml:space="preserve">The scope of action of this Association is limited to the province of Huelva, where it has its registered office (folio 67). It is made up of "about 20 farmers."  </w:t>
        <w:br/>
        <w:t xml:space="preserve">2. RÚSTICAS DEL GUADALQUIVIR, S.L. (respondent)  </w:t>
        <w:br/>
        <w:t xml:space="preserve">RÚSTICAS DEL GUADALQUIVIR is a company established in 1962, with its registered office in San José de la Rinconada (Sevilla) and its economic activity belongs to CNAE 0124 - Cultivation of stone fruits and pips. Its SIC2 is 0179 - Other fruits.  </w:t>
        <w:br/>
        <w:t xml:space="preserve">It has between [0-50] employees and has an annual turnover of less than 2 million euros (folios 473 to 476).  </w:t>
        <w:br/>
        <w:t xml:space="preserve">In 1985, it created the Royal group or Royal SAT (composed of the companies Rústicas del Guadalquivir, Alia, and Sevifruit, S.A.), with which it has established an exclusivity agreement for research and development in stone fruit in favor of its producer partners. Since 2006, it has expanded its research and development activity to work on the search for new varieties of other "berries," including strawberries, raspberries, and blueberries.  </w:t>
        <w:br/>
        <w:t>RÚSTICAS DEL GUADALQUIVIR is the exclusive licensee for Europe, North Africa, and other Mediterranean countries of the blueberry varieties from the University of Florida (one of the leading universities in the study of plant genetic varieties).</w:t>
      </w:r>
    </w:p>
    <w:p>
      <w:r>
        <w:t xml:space="preserve">III. NORMATIVE FRAMEWORK  </w:t>
        <w:br/>
        <w:t xml:space="preserve">The conduct analyzed in this file affects industrial property rights, specifically plant variety rights, in the red fruit sector.  </w:t>
        <w:br/>
        <w:t xml:space="preserve">In this area, both European Union (EU) regulations and national regulations apply, as described below.  </w:t>
        <w:br/>
        <w:t xml:space="preserve">In the EU, Regulation (EC) 2100/94 of the Council, of July 27, 1994, governs, which constitutes the basic text for the protection of plant varieties and incorporates the principles established by the International Convention for the Protection of New Varieties of Plants (UPOV), according to the Geneva Act of 1991, along with the European Patent Convention of 1973 (EPC) and the Agreement on Trade-Related Aspects of Intellectual Property Rights of 1994 (TRIPS).  </w:t>
        <w:br/>
        <w:t xml:space="preserve">Said Regulation 2100/94 establishes a European protection system for plant varieties as the unique and exclusive form of industrial property protection for plant varieties.  </w:t>
        <w:br/>
        <w:t xml:space="preserve">Articles 5 and 6 of Regulation 2100/94 define the characteristics that plant varieties must meet to enjoy legal protection. The regulation covers the plant varieties of all genera and botanical species, including, among others, hybrids of genera or species.  </w:t>
        <w:br/>
        <w:t xml:space="preserve">2 The international commercial nomenclature system "Standard Industrial Classification" (SIC) allows for the identification and classification of all types of commercial activities. Each SIC consists of a 4-digit code, each of which represents a more specific level of activity. The first two digits refer to the generic activity of each company; the next two specify that activity.  </w:t>
        <w:br/>
        <w:t xml:space="preserve">S/0022/19, BLUEBERRIES National Commission of Markets and Competition Page 3 of 13  </w:t>
        <w:br/>
        <w:t xml:space="preserve">C/ Barquillo, 5 – 28004 Madrid - C/ Bolivia, 56 – 08018 Barcelona  </w:t>
        <w:br/>
        <w:t>www.cnmc.es</w:t>
      </w:r>
    </w:p>
    <w:p>
      <w:r>
        <w:rPr>
          <w:b/>
        </w:rPr>
        <w:t>[Pages 4–6]</w:t>
      </w:r>
    </w:p>
    <w:p>
      <w:r>
        <w:t xml:space="preserve">(Article 5.1) provided that they are: a) distinct; b) homogeneous; c) stable; and d) new (Article 6).  </w:t>
        <w:br/>
        <w:t xml:space="preserve">Sections 1 and 5 of Article 13 establish the rights and limits conferred by the protection of a plant variety. Among other rights, this protection allows the holder of a plant variety protection to reserve the right to carry out operations of production, reproduction, sale, marketing, export, or import (Article 13.2).  </w:t>
        <w:br/>
        <w:t xml:space="preserve">At the national level, the Law on the Legal Regime for the Protection of Plant Varieties (LOV) and its implementing regulation (RLOV)3 apply.  </w:t>
        <w:br/>
        <w:t xml:space="preserve">Articles 2 and 5 of the LOV define the plant variety and the requirements that must be met to obtain legal protection4. Articles 12 and 13 determine the exploitation rights conferred by the plant variety protection title and the obligation of the holder of an essentially derived variety to agree with the holder of the plant variety from which it derives the terms of exploitation of the former. Article 13 also provides a definition of the essentially derived variety.  </w:t>
        <w:br/>
        <w:t xml:space="preserve">The holder of a plant protection has the exclusive right to exploit the reproductive plant material (e.g., seeds) or vegetative multiplication material (e.g., buds for grafting) of the protected variety. The specific actions of this exploitation include production or reproduction (multiplication), conditioning for reproduction or multiplication purposes, offering for sale, selling, or any other form of marketing, exporting and importing, and possession for any of these purposes.  </w:t>
        <w:br/>
        <w:t xml:space="preserve">Article 21 of the LOV provides that, in the event of infringement of their rights, the breeder may exercise the following actions before the ordinary jurisdiction:  </w:t>
        <w:br/>
        <w:t xml:space="preserve">a) The cessation of acts that violate their right,  </w:t>
        <w:br/>
        <w:t xml:space="preserve">b) Compensation for damages suffered,  </w:t>
        <w:br/>
        <w:t xml:space="preserve">c) The collection of all plant material obtained that is in the possession of any of the responsible parties and its destruction when necessary,  </w:t>
        <w:br/>
        <w:t xml:space="preserve">d) The transfer of ownership of the plant material referred to in the previous paragraph, in which case its value will be charged to the compensation for damages. If the value of the aforementioned products exceeds the compensation granted, the right holder must compensate the convicted party for the excess,  </w:t>
        <w:br/>
        <w:t xml:space="preserve">e) The publication of the judgment at the expense of the convicted party,  </w:t>
        <w:br/>
        <w:t xml:space="preserve">f) The adoption of necessary measures to prevent the continuation of the infringement of their right.  </w:t>
        <w:br/>
        <w:t xml:space="preserve">A third party may only exploit the protected variety if the right holder grants them a license for it through a contract that must be registered in the license register (art. 23 LOV).  </w:t>
        <w:br/>
        <w:t xml:space="preserve">Plant variety rights extend for 25 years (Article 18.1 LOV and Recital 22 of Regulation 2100/94)5.  </w:t>
        <w:br/>
        <w:t xml:space="preserve">Finally, it should be noted that those who, without the consent of the holder, for agricultural or commercial purposes, produce, reproduce, condition for production or reproduction, offer for sale, sell, market in any other way, export or import, or possess for any of these purposes, reproductive and multiplication plant material of the aforementioned varieties will be punished with a prison sentence of up to 2 years (Article 274, section four of the Penal Code).  </w:t>
        <w:br/>
        <w:t xml:space="preserve">IV. AFFECTED MARKET  </w:t>
        <w:br/>
        <w:t xml:space="preserve">From the product perspective, the analyzed behaviors take place in the market for the cultivation of stone and pome fruits (CNAE 0124), particularly in the production and marketing of red fruits.  </w:t>
        <w:br/>
        <w:t xml:space="preserve">The affected market in this case is that of red fruits, without the blueberry or the one linked to the Snowchaser variety being understood as a differentiated market6.  </w:t>
        <w:br/>
        <w:t xml:space="preserve">5 Except for grape varieties and tree species that last 30 years.  </w:t>
        <w:br/>
        <w:t xml:space="preserve">6 A market delimitation that is not limited to a narrow definition of the affected product coincides with that made in other precedents, where a market delimitation that is too narrow, that is, by varieties, within the same type of fruit is rejected. Thus, the Resolution of the CNMC Council of December 14, 2017, Expte. S/DC/0537/14 TANGO stated: “In this regard, the Chamber also agrees with the criterion of the Competition Directorate, which considers that the market definition proposed by the complainant is excessively narrow and is not supported by the decision-making practice of the competition authority. Indeed, the now-defunct CNC Council in the aforementioned file S/0312/10, CARPA DORADA AND CLUB OF PROTECTED PLANT VARIETIES, assessed the issue of relevant market delimitation and considered, along with the national market for mandarins, the possibility that the relevant market was that relating to the 'second part (January-May) of the mandarin market,' but not any other narrower definition. It also indicated that, 'In the case of accepting this definition of relevant market, the harvest of Nadorcott would represent between 15% and 20% of the total volume...'. It should be noted that this market delimitation was not challenged in court, as evidenced by the National Court rulings of June 18, October 9, and November 2015 regarding the Resolution of the Council of the now-defunct CNC of July 4, 2013, in file S/312/10 CARPA DORADA AND CLUB OF PROTECTED PLANT VARIETIES, and was confirmed by the Supreme Court ruling of March 21, 2018, regarding file S/312/10 CARPA DORADA AND CLUB OF PROTECTED PLANT VARIETIES.  </w:t>
        <w:br/>
        <w:t>7 According to the Report prepared by AMI "Market Report, Berries 2016" provided by the respondent. AMI is the leading company in agricultural market information in Germany. https://www.ami-informiert.de/amienglish/ami-about-us/about-us.html.</w:t>
      </w:r>
    </w:p>
    <w:p>
      <w:r>
        <w:rPr>
          <w:b/>
        </w:rPr>
        <w:t>[Pages 7–9]</w:t>
      </w:r>
    </w:p>
    <w:p>
      <w:r>
        <w:t xml:space="preserve">considered that the relevant product market would encompass all red fruits, or at least blueberries, raspberries, strawberries, and blackberries.  </w:t>
        <w:br/>
        <w:t xml:space="preserve">Notwithstanding the above, it should be mentioned that all operators maintain differentiated production and purchasing programs for each of the species of red fruits, which is due to the geographical concentration of production and the fact that the peaks and valleys of production - generally conditioned by climatic factors - of each red fruit do not usually coincide. This fact does not allow for the conclusion of the existence of a market differentiated by each red fruit since manufacturers import different species of red fruits - particularly strawberries, blueberries, raspberries, and blackberries - from third countries to complement their supply, in the event that local production is scarce.  </w:t>
        <w:br/>
        <w:t xml:space="preserve">Regarding blueberries, three types of cultivated varieties can be distinguished8:  </w:t>
        <w:br/>
        <w:t xml:space="preserve">- the Southern Highbush, a variety adapted to areas with mild winters - grown in the province of Huelva, Italy, southern Portugal, and northern Africa, generally throughout the Mediterranean arc - whose ripening period begins in March.  </w:t>
        <w:br/>
        <w:t xml:space="preserve">- the Northern Highbush, a variety that undergoes a winter dormancy period and requires a cold period - grown on the Cantabrian coast, Galicia, and northern Portugal, as well as in other European countries such as the Netherlands, Poland, or Germany - typically ripening in summer.  </w:t>
        <w:br/>
        <w:t xml:space="preserve">- the Rabbiteye, a subtype of the Northern Highbush blueberry characterized by ripening in the autumn.  </w:t>
        <w:br/>
        <w:t xml:space="preserve">It could be considered that there is a "traditional" consumption period, which would coincide with its own production period, to which in recent years has been added an "off-season" consumption, made possible by the production of other European countries with warm climates such as Spain, which has a significant weight, but also by imports from third countries9.  </w:t>
        <w:br/>
        <w:t xml:space="preserve">8 Due to progress in genetic development programs, the separation between the first two groups is becoming increasingly smaller, and late varieties for areas with mild winters can occur and vice versa, so that production from warm areas overlaps with that from cold areas. Additionally, it should be noted that the increase in protected cultivation, for example in greenhouses, has allowed traditional production seasons to extend beyond the traditional months.  </w:t>
        <w:br/>
        <w:t xml:space="preserve">9 In this regard, both the European production of Southern Highbush - adaptable to warm winters - and imports from Southern Hemisphere countries - especially Chile and South Africa, which offer Northern Highbush-type varieties - and other regions with mild winters in the Northern Hemisphere should be evaluated. Also, countries with increasing relevance such as Peru and Mexico, which, thanks to climatic conditions, are able to produce practically "on demand" using Southern Highbush-type varieties.  </w:t>
        <w:br/>
        <w:t xml:space="preserve">On the other hand, the entry of fruit from third countries into the European market occurs about three weeks after the departure date from the country of origin - which is the maritime transport transit time - delaying its commercialization by an additional week. For example, in the case of Chilean fruit, it has a significant presence in the European market during the months of December, January, February, and March, reaching a significant commercial presence in April, thus overlapping with the production from the province of Huelva and competing with it. Information provided by RÚSTICAS DEL GUADALQUIVIR, S.L in response to a request for information made by the Competition Directorate.  </w:t>
        <w:br/>
        <w:t xml:space="preserve">10 For example, the respondent distinguishes, firstly, within the Southern Highbush type produced in Huelva, a list of varieties such as, mainly, Star, Ventura, Rocío, or Snowchaser, although there are also produced, to a lesser extent, the varieties Windsor, Romero, Stella Blue, Emerald, Jewel, and Legacy, along with other varieties produced in nurseries such as New Hanover, Alix Blue, or Gupton. Secondly, within the Northern Highbush type from northern Spain, it cites the most common varieties such as Duke, Aurora, Ochlockonee, Legacy, etc., and finally cites the autumn-ripening varieties such as Rabbiteye, Ochlockonee, and Powderblue.  </w:t>
        <w:br/>
        <w:t>11 AMI report provided by RÚSTICAS DEL GUADALQUIVIR in response to a request for information made by the Competition Directorate (folios 195 to 258, especially on folios 203, 220, 222, 230, 236, and 245).</w:t>
      </w:r>
    </w:p>
    <w:p>
      <w:r>
        <w:t xml:space="preserve">V. REPORTED AND INVESTIGATED FACTS  </w:t>
        <w:br/>
        <w:t xml:space="preserve">The University of Florida has obtained and developed [20-30] varieties of blueberries, among which is Snowchaser. It holds industrial property rights over it in the United States of America and in other countries, including Spain (folios 189 to 194).  </w:t>
        <w:br/>
        <w:t xml:space="preserve">RÚSTICAS DEL GUADALQUIVIR has entered into a contract with FFSP - a non-profit organization providing direct support to the University of Florida - which grants it an exclusive license for several countries, including Spain. By virtue of this, it holds exclusive rights to cultivate, vegetatively multiply, offer for sale, sell, sublicense, or otherwise offer to dispose of or dispose of plant varieties for the Snowchaser and Jewel blueberry varieties in the licensed territories.  </w:t>
        <w:br/>
        <w:t xml:space="preserve">On February 9, 2015, the Community Plant Variety Office (CPVO) notified RÚSTICAS DEL GUADALQUIVIR and the University of Florida of the grant of protection for the plant varieties mentioned in the European Union.  </w:t>
        <w:br/>
        <w:t xml:space="preserve">RÚSTICAS DEL GUADALQUIVIR granted numerous entities sublicenses for the exploitation of plant material, among others, of the Snowchaser variety. These sublicenses confer authorization for the production and marketing of fruit from the farms listed in the respective certificates. Most of the contracting parties are cooperative societies or agricultural transformation societies with numerous farmer members. RÚSTICAS DEL GUADALQUIVIR signs framework agreements for the granting of sublicenses with these societies and exploitation agreements with each of their members. Currently, there are [200-300] active exploitation agreements. Of these [200-300] agreements, [100-200] were signed or updated through addenda in 2016 due to new plantings or increases in existing plantings of the Snowchaser variety (see complete list of SNOWCHASER agreements in folios 379 to 384).  </w:t>
        <w:br/>
        <w:t xml:space="preserve">RÚSTICAS DEL GUADALQUIVIR opened an exceptional collective regularization process aimed at all cooperatives and farmers who were exploiting the Snowchaser variety without a license, in order to sign a sublicense contract and regularize the farms.  </w:t>
        <w:br/>
        <w:t>The complaining Association did not participate in the collective regularization process but instead requested individual regularization once the collective process was closed. RÚSTICAS DEL GUADALQUIVIR studied the Association's request based on the parameters applied to any new applicant. This study revealed a lack of transparency from the Association regarding its activity, purposes, cultivated varieties, obtained licenses, and associated members.</w:t>
      </w:r>
    </w:p>
    <w:p>
      <w:r>
        <w:rPr>
          <w:b/>
        </w:rPr>
        <w:t>[Pages 10–12]</w:t>
      </w:r>
    </w:p>
    <w:p>
      <w:r>
        <w:t xml:space="preserve">Additionally, some members of the Association were exploiting the Snowchaser variety without a license (folios 189 to 194).  </w:t>
        <w:br/>
        <w:t xml:space="preserve">VI. LEGAL GROUNDS  </w:t>
        <w:br/>
        <w:t xml:space="preserve">FIRST.- Competence to resolve, object, and proposal of the DC  </w:t>
        <w:br/>
        <w:t xml:space="preserve">It is the responsibility of the Competition Chamber of the CNMC Council to resolve sanctioning procedures applying the LDC “in matters of conduct that imply preventing, restricting, and distorting competition12”.  </w:t>
        <w:br/>
        <w:t xml:space="preserve">The DC proposed to this Chamber in its report the non-initiation of the sanctioning procedure and the filing of the proceedings, in accordance with the provisions of Article 49.3 of the LDC, as it considers that, in relation to the reported facts, there are no indications of infringement of the LDC since there has not been a concert of wills among independent economic operators, making it impossible to prove the existence of an agreement contrary to Article 1 of the LDC. Furthermore, it cannot be deduced that the conduct of RÚSTICAS DEL GUADALQUIVIR, S.L. constituted an abuse of a dominant position since it is based on the proper exercise of its licensing rights and lacks a dominant position in the market, thus there are also no rational indications of infringement of Article 2 of the LDC.  </w:t>
        <w:br/>
        <w:t xml:space="preserve">This Chamber must assess whether it is indeed appropriate to agree to the non-initiation of the sanctioning procedure and the filing of the proceedings13.  </w:t>
        <w:br/>
        <w:t xml:space="preserve">THIRD.- Assessment of the Competition Chamber  </w:t>
        <w:br/>
        <w:t xml:space="preserve">The LDC prohibits any agreement between companies that has as its object or effect the prevention, restriction, or distortion of competition in all or part of the national market (Article 1) and the abusive exploitation by one or more companies of their dominant position in all or part of the national market (Article 2).  </w:t>
        <w:br/>
        <w:t xml:space="preserve">The complaining Association believes that its members would have seen their production limited as a result of the collusive practice of the holder of the Snowchaser plant variety, affecting an obstructive attitude towards the cultivation of said plant, and that the abuse carried out by the respondent would consist of “the direct or indirect imposition of prices or other inequitable commercial or service conditions, as well as the limitation of production, distribution, or technical development to the unjustified detriment of companies and consumers.”  </w:t>
        <w:br/>
        <w:t xml:space="preserve">First, the violation of Article 1 of the LDC must be ruled out, which, on the one hand, requires a concert of wills among independent economic operators and, on the other, that such an agreement has as its object, produces, or may produce an anticompetitive effect in the markets. A unilateral conduct cannot be subsumed under the aforementioned infringing type, so such an infringement does not fit the current case.  </w:t>
        <w:br/>
        <w:t xml:space="preserve">Secondly, Article 2 of the LDC prohibits “the abusive exploitation by one or more companies of their dominant position in all or part of the national market,” which may take various forms, including those indicated in paragraph 2 of the same article (direct or indirect imposition of prices or other commercial conditions, limitation of production, unjustified refusal to meet purchase demands for products or provision of services, etc.).  </w:t>
        <w:br/>
        <w:t xml:space="preserve">Thus, to appreciate an infringement of Article 2 of the LDC, it is required, in accordance with the jurisprudence of the Supreme Court and European jurisprudence, that two requirements are cumulatively met: on the one hand, that the infringer holds a dominant position in the relevant market in which it operates and, on the other, that it has engaged in an abusive exploitation of that dominant position14.  </w:t>
        <w:br/>
        <w:t xml:space="preserve">The dominant position has been defined under EU Law as the situation of economic power in which a company finds itself and which allows it to prevent effective competition in the relevant market, granting it the ability to behave with a considerable degree of independence from its competitors, its customers, and ultimately, consumers15.  </w:t>
        <w:br/>
        <w:t xml:space="preserve">The CNMC Council, like the previous Competition Defense Tribunal and National Competition Commission, has ruled in the same sense, establishing that “a company enjoys a dominant position in a market when it has in it, sufficient economic power and independence of behavior to act without taking into account the possible reactions of competitors and, in this way, be able to modify to its advantage the price or another characteristic of the product”16.  </w:t>
        <w:br/>
        <w:t xml:space="preserve">In the European Commission's Communication “Guidelines on the priorities of enforcement in applying Article 82 of the EC Treaty to the abusive exclusionary conduct of dominant companies (paragraphs 13 and 15), it was noted that “market shares provide a first useful indication for the Commission regarding the structure of the market and the relative importance of the various companies active in the market” and “experience suggests that the higher the market share and the longer the period during which that share is held, the more likely it is to constitute an important preliminary indication of the existence of a dominant position.”  </w:t>
        <w:br/>
        <w:t xml:space="preserve">However, the European Commission also states that the conditions of the relevant market must be examined, especially the market dynamics and the degree of product differentiation. In this sense, to analyze whether an operator is indeed behaving independently, both the supply side (market shares, restrictions from competitors, and potential competition) and the demand side (bargaining power and its elasticity) must be studied.  </w:t>
        <w:br/>
        <w:t xml:space="preserve">In the current case, the shares of Snowchaser in Spain, both in economic value and in volume, remain below 5% in the red fruits market and around 10% of the market in value and volume in blueberries. From this data, along with the analysis of other factors such as the conditions of the relevant market and, especially, the market dynamics and the degree of product differentiation, the existence of a dominant position cannot be deduced. Given that there are more than [50-100] varieties of blueberries, RÚSTICAS DEL GUADALQUIVIR cannot behave independently of its competitors in the market, so the requirements to consider that this company is in a dominant position in the market in which it operates are not met.  </w:t>
        <w:br/>
        <w:t xml:space="preserve">The only market in which the respondent could hold a dominant position would be in the hypothetical national market for the Snowchaser variety, but this definition is excessively narrow in view of the substitutable nature of one product for another, both on the supply and demand sides.  </w:t>
        <w:br/>
        <w:t xml:space="preserve">In any case, for there to be an infringement of Article 2 of the LDC, the existence of abuse is necessary, a question on which there are also no indications in the reported conduct.  </w:t>
        <w:br/>
        <w:t>16 For example, TDC Resolution, of May 10, 1999, on File 344/98 Aluminios Navarra, TDC Resolution, of July 7, 1999, on 441/98 Electra Avellana, TDC Resolution, of September 30, 1999, on 362/99 Bacardí, CNC Resolution, of February 22, 2011, on File S/0180/10 ArcelorMittal, and CNMC Resolution, of November 21, 2017, on File S/DC/0580/16 Horse Breeders 2.</w:t>
      </w:r>
    </w:p>
    <w:p>
      <w:r>
        <w:rPr>
          <w:b/>
        </w:rPr>
        <w:t>[Pages 13–13]</w:t>
      </w:r>
    </w:p>
    <w:p>
      <w:r>
        <w:t>RÚSTICAS DEL GUADALQUIVIR holds the exclusive right to cultivate, vegetatively propagate, offer for sale, sell, sublicense, or otherwise offer to dispose of or dispose of the plants of the varieties subject to the license, including the Snowchaser variety, in the licensed territories. Voluntarily, the respondent opened a collective regularization process aimed at all cooperatives and farmers who were exploiting the Snowchaser variety without a license, with the purpose of signing a sublicense contract and regularizing the operations. The Association did not participate in the collective regularization process and requested individual regularization, closing said common process. It cannot be inferred from the reasons provided for the denial that there is abuse, and discrimination or an exclusionary purpose based on the establishment of unreasonable conditions or excessively high prices has not been demonstrated. Therefore, it must be considered that there are no rational indications of an infringement of Article 2 of the LDC.</w:t>
      </w:r>
    </w:p>
    <w:p>
      <w:r>
        <w:t>By virtue of this, and in view of the cited provisions and other generally applicable ones, the Competition Council has resolved:</w:t>
      </w:r>
    </w:p>
    <w:p>
      <w:r>
        <w:t xml:space="preserve">RESOLVES </w:t>
        <w:br/>
        <w:t>SOLE.- Not to initiate sanctioning proceedings and to agree to archive the actions taken in file S/0022/19, ARÁNDANOS, as a consequence of the complaint filed by the ASSOCIATION FOR THE DEFENSE OF THE AGRICULTURAL SECTOR OF HUELVA, against the holder of the commercial exploitation of the plant variety of the blueberry species Snowchaser RÚSTICAS DEL GUADALQUIVIR, S.L., considering that there are insufficient indications of an infringement of the Law on the Defense of Competition in this file.</w:t>
      </w:r>
    </w:p>
    <w:p>
      <w:r>
        <w:t xml:space="preserve">DIGITALLY SIGNED </w:t>
        <w:br/>
        <w:t>Communicate this Resolution to the Competition Directorate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