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https://www.cnmc.es/expedientes/s002320</w:t>
      </w:r>
    </w:p>
    <w:p>
      <w:r>
        <w:t>Pages translated : 23</w:t>
      </w:r>
    </w:p>
    <w:p/>
    <w:p>
      <w:r>
        <w:rPr>
          <w:b/>
        </w:rPr>
        <w:t>[Pages 1–3]</w:t>
      </w:r>
    </w:p>
    <w:p>
      <w:r>
        <w:t xml:space="preserve">S/0023/20  </w:t>
        <w:br/>
        <w:t xml:space="preserve">GOOGLE-DIGITAL CONTENT HOSTING  </w:t>
        <w:br/>
        <w:t xml:space="preserve">AGREEMENT OF NON-INITIATION AND FILING OF THE  </w:t>
        <w:br/>
        <w:t xml:space="preserve">PROCEEDINGS  </w:t>
        <w:br/>
        <w:t xml:space="preserve">GOOGLE-DIGITAL CONTENT HOSTING  </w:t>
        <w:br/>
        <w:t xml:space="preserve">S/0023/20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29, 2023  </w:t>
        <w:br/>
        <w:t xml:space="preserve">The Competition Chamber of the Council of the National Commission of Markets  </w:t>
        <w:br/>
        <w:t xml:space="preserve">and Competition (CNMC), with the composition expressed, has issued the following  </w:t>
        <w:br/>
        <w:t xml:space="preserve">agreement regarding the proceedings processed by the Directorate of  </w:t>
        <w:br/>
        <w:t xml:space="preserve">Competition (DC), following a complaint filed by an individual against  </w:t>
        <w:br/>
        <w:t xml:space="preserve">the companies Google Inc. (GOOGLE) and El Corte Ingles S.A. (ECI), for alleged  </w:t>
        <w:br/>
        <w:t xml:space="preserve">conduct prohibited by Articles 1, 2, and 3 of Law 15/2007, of July 3,  </w:t>
        <w:br/>
        <w:t xml:space="preserve">on the Defense of Competition (LDC).  </w:t>
        <w:br/>
        <w:t xml:space="preserve">National Commission of Markets and Competition 1 of 23  </w:t>
        <w:br/>
        <w:t xml:space="preserve">C/ Alcalá, 47 – 28014 Madrid - C/ Bolivia, 56 – 08018 Barcelona  </w:t>
        <w:br/>
        <w:t>www.cnmc.es</w:t>
      </w:r>
    </w:p>
    <w:p>
      <w:r>
        <w:t xml:space="preserve">S/0023/20  </w:t>
        <w:br/>
        <w:t xml:space="preserve">GOOGLE-DIGITAL CONTENT HOSTING  </w:t>
        <w:br/>
        <w:t xml:space="preserve">TABLE OF CONTENTS  </w:t>
        <w:br/>
        <w:t xml:space="preserve">1. BACKGROUND .......................................................................................... 2  </w:t>
        <w:br/>
        <w:t xml:space="preserve">2. PARTIES ......................................................................................................... 4  </w:t>
        <w:br/>
        <w:t xml:space="preserve">2.1. DEFENDANTS ............................................................................................... 4  </w:t>
        <w:br/>
        <w:t xml:space="preserve">2.1.1 Google Inc. (GOOGLE) ......................................................................................... 4  </w:t>
        <w:br/>
        <w:t xml:space="preserve">2.1.2 El Corte Inglés (ECI) ............................................................................................. 5  </w:t>
        <w:br/>
        <w:t xml:space="preserve">2.2. COMPLAINANT ............................................................................................... 5  </w:t>
        <w:br/>
        <w:t xml:space="preserve">DGL 5  </w:t>
        <w:br/>
        <w:t xml:space="preserve">3. AFFECTED MARKETS ........................................................................... 5  </w:t>
        <w:br/>
        <w:t xml:space="preserve">3.1. Principles ........................................................................................................ 5  </w:t>
        <w:br/>
        <w:t xml:space="preserve">3.1.1 Product market ................................................................................................. 5  </w:t>
        <w:br/>
        <w:t xml:space="preserve">3.1.2 Geographic market .......................................................................................... 7  </w:t>
        <w:br/>
        <w:t xml:space="preserve">3.2. Application to the case .................................................................................. 7  </w:t>
        <w:br/>
        <w:t xml:space="preserve">3.2.1. Product market ............................................................................................... 7  </w:t>
        <w:br/>
        <w:t xml:space="preserve">3.2.2. Geographic market ......................................................................................... 9  </w:t>
        <w:br/>
        <w:t xml:space="preserve">4. ALLEGED FACTS ...................................................................................... 10  </w:t>
        <w:br/>
        <w:t xml:space="preserve">5. LEGAL GROUNDS .................................................................................... 11  </w:t>
        <w:br/>
        <w:t xml:space="preserve">5.1. Competence to Resolve .............................................................................. 11  </w:t>
        <w:br/>
        <w:t xml:space="preserve">5.2. Object of the agreement and proposal of the instructing body .................. 11  </w:t>
        <w:br/>
        <w:t xml:space="preserve">5.3. Assessment of the Competition Chamber .................................................. 12  </w:t>
        <w:br/>
        <w:t xml:space="preserve">5.3.1. Possible application of Article 1 of the LDC ................................................ 12  </w:t>
        <w:br/>
        <w:t xml:space="preserve">5.3.1.1. Principles ................................................................................................... 12  </w:t>
        <w:br/>
        <w:t xml:space="preserve">5.3.1.2. Application to the present case ................................................................ 13  </w:t>
        <w:br/>
        <w:t xml:space="preserve">5.3.2. Possible application of Article 2 of the LDC ................................................ 15  </w:t>
        <w:br/>
        <w:t xml:space="preserve">5.3.2.1. Principles ................................................................................................... 15  </w:t>
        <w:br/>
        <w:t xml:space="preserve">5.3.2.2. Application to the present case ................................................................ 17  </w:t>
        <w:br/>
        <w:t xml:space="preserve">5.3.3. Possible application of Article 3 of the LDC ................................................ 18  </w:t>
        <w:br/>
        <w:t xml:space="preserve">5.3.3.1. Principles ................................................................................................... 18  </w:t>
        <w:br/>
        <w:t xml:space="preserve">5.3.3.2. Application to the present case ................................................................ 19  </w:t>
        <w:br/>
        <w:t xml:space="preserve">6. AGREES ...................................................................................................... 22  </w:t>
        <w:br/>
        <w:t xml:space="preserve">1. BACKGROUND  </w:t>
        <w:br/>
        <w:t xml:space="preserve">(1) On July 28, 2020, a complaint was received at the CNMC filed by an individual  </w:t>
        <w:br/>
        <w:t xml:space="preserve">(DGL) against GOOGLE, for alleged conduct prohibited by Articles 1, 2, and 3 of  </w:t>
        <w:br/>
        <w:t xml:space="preserve">Law 15/2007, of the LDC1.  </w:t>
        <w:br/>
        <w:t xml:space="preserve">(2) In particular, DGL alleges that GOOGLE has carried out a series of  </w:t>
        <w:br/>
        <w:t xml:space="preserve">unlawful acts aimed at harming the brand “La Corte del Inglés”  </w:t>
        <w:br/>
        <w:t xml:space="preserve">(LCDI), belonging to the complainant with registration number 3.508.972 at the  </w:t>
        <w:br/>
        <w:t xml:space="preserve">1 Pages 2 to 16.  </w:t>
        <w:br/>
        <w:t xml:space="preserve">National Commission of Markets and Competition 2 of 23  </w:t>
        <w:br/>
        <w:t xml:space="preserve">C/ Alcalá, 47 – 28014 Madrid - C/ Bolivia, 56 – 08018 Barcelona  </w:t>
        <w:br/>
        <w:t>www.cnmc.es</w:t>
      </w:r>
    </w:p>
    <w:p>
      <w:r>
        <w:t xml:space="preserve">S/0023/20  </w:t>
        <w:br/>
        <w:t xml:space="preserve">GOOGLE-DIGITAL CONTENT HOSTING  </w:t>
        <w:br/>
        <w:t xml:space="preserve">Spanish Patent and Trademark Office (OEPM). The complainant attaches a copy  </w:t>
        <w:br/>
        <w:t xml:space="preserve">of the Trademark Registration Title2.  </w:t>
        <w:br/>
        <w:t xml:space="preserve">(3) In addition to the complaint against GOOGLE, DGL also filed a complaint  </w:t>
        <w:br/>
        <w:t xml:space="preserve">against the ECI business group for violation of Articles 1 and 3 of the LDC,  </w:t>
        <w:br/>
        <w:t xml:space="preserve">for its alleged participation in purported collusive conduct and a  </w:t>
        <w:br/>
        <w:t xml:space="preserve">purported distortion of free competition affecting the public interest  </w:t>
        <w:br/>
        <w:t xml:space="preserve">resulting from practices constituting unfair competition3.  </w:t>
        <w:br/>
        <w:t xml:space="preserve">(4) The specific conduct alleged by DGL would have consisted of:  </w:t>
        <w:br/>
        <w:t xml:space="preserve">− A possible collusion between GOOGLE and ECI to position the latter  </w:t>
        <w:br/>
        <w:t xml:space="preserve">in the top search results when entering the words la corte del inglés, relegating  </w:t>
        <w:br/>
        <w:t xml:space="preserve">LCDI to secondary positions (below the top three results displayed).  </w:t>
        <w:br/>
        <w:t xml:space="preserve">− Furthermore, GOOGLE and ECI are accused of improper appropriation,  </w:t>
        <w:br/>
        <w:t xml:space="preserve">through collusion and/or abuse of dominant position, of the terms corte and inglés  </w:t>
        <w:br/>
        <w:t xml:space="preserve">since, according to the complainant, when both words are entered in the search engine,  </w:t>
        <w:br/>
        <w:t xml:space="preserve">LCDI does not appear among the displayed results.  </w:t>
        <w:br/>
        <w:t xml:space="preserve">− Finally, DGL accuses ECI of unfair competition by practicing  </w:t>
        <w:br/>
        <w:t xml:space="preserve">metatagging, or indexing parasitism. Thus, ECI would be taking advantage,  </w:t>
        <w:br/>
        <w:t xml:space="preserve">according to the complainant, of the LCDI brand to redirect traffic from it to its own website4.  </w:t>
        <w:br/>
        <w:t xml:space="preserve">(5) In order to determine the veracity of the alleged facts and whether there may  </w:t>
        <w:br/>
        <w:t xml:space="preserve">be indications of a violation of the LDC, the DC agreed to carry out  </w:t>
        <w:br/>
        <w:t xml:space="preserve">investigative proceedings with reference S/0023/20.  </w:t>
        <w:br/>
        <w:t xml:space="preserve">(6) On May 10, 2021, a written extension of the complaint was received with new  </w:t>
        <w:br/>
        <w:t xml:space="preserve">examples that would prove, according to DGL, that GOOGLE unjustifiably favors  </w:t>
        <w:br/>
        <w:t xml:space="preserve">ECI in the search results5.  </w:t>
        <w:br/>
        <w:t xml:space="preserve">(7) On May 13, 2021, a second written extension of the complaint was received,  </w:t>
        <w:br/>
        <w:t xml:space="preserve">in which DGL states that the search engines proposed as examples of  </w:t>
        <w:br/>
        <w:t xml:space="preserve">non-discrimination in the initial complaint (for offering LCDI in their  </w:t>
        <w:br/>
        <w:t xml:space="preserve">organic results when searching for la corte del inglés), now show ECI as the  </w:t>
        <w:br/>
        <w:t xml:space="preserve">first result. New examples from other search engines are also provided that  </w:t>
        <w:br/>
        <w:t xml:space="preserve">2 Pages 13 and 14.  </w:t>
        <w:br/>
        <w:t xml:space="preserve">3 Page 3.  </w:t>
        <w:br/>
        <w:t xml:space="preserve">4 Page 10.  </w:t>
        <w:br/>
        <w:t xml:space="preserve">5 Pages 18 to 23.  </w:t>
        <w:br/>
        <w:t xml:space="preserve">National Commission of Markets and Competition 3 of 23  </w:t>
        <w:br/>
        <w:t xml:space="preserve">C/ Alcalá, 47 – 28014 Madrid - C/ Bolivia, 56 – 08018 Barcelona  </w:t>
        <w:br/>
        <w:t>www.cnmc.es</w:t>
      </w:r>
    </w:p>
    <w:p>
      <w:r>
        <w:rPr>
          <w:b/>
        </w:rPr>
        <w:t>[Pages 4–6]</w:t>
      </w:r>
    </w:p>
    <w:p>
      <w:r>
        <w:t xml:space="preserve">S/0023/20  </w:t>
        <w:br/>
        <w:t xml:space="preserve">GOOGLE-DIGITAL CONTENT HOSTING  </w:t>
        <w:br/>
        <w:t xml:space="preserve">do show LCDI as the first result when searching for the words the court in English without quotation marks6.  </w:t>
        <w:br/>
        <w:t xml:space="preserve">(8) On May 21, 2021, a third extension of the complaint was received, reiterating that when entering the words the court in English without quotation marks into the GOOGLE search engine, the results displayed include a map with the location of various ECI centers, as well as associated entries, relegating LCDI to secondary results. The complainant highlights that if the words el corte inglés are entered without quotation marks, this map does not appear; instead, the main website address of ECI is shown first7 (www.elcorteingles.es).  </w:t>
        <w:br/>
        <w:t xml:space="preserve">(9) On August 23, 2021, the complainant sent a letter to the CNMC to inquire about the status of the processing of their complaint and to provide their contact details8.  </w:t>
        <w:br/>
        <w:t xml:space="preserve">(10) On November 10, 2021, it was agreed to incorporate a set of documents related to internet searches considered useful for the investigation into the reference file9.  </w:t>
        <w:br/>
        <w:t xml:space="preserve">2. PARTIES  </w:t>
        <w:br/>
        <w:t xml:space="preserve">2.1. DEFENDANTS  </w:t>
        <w:br/>
        <w:t xml:space="preserve">2.1.1 Google Inc. (GOOGLE)  </w:t>
        <w:br/>
        <w:t xml:space="preserve">(11) GOOGLE is a U.S. multinational technology company specialized in products and services related to the internet that include: (i) online advertising services, (ii) internet search services, (iii) cloud computing, (iv) application and operating system development for mobile devices, and (v) the manufacturing of connected devices.  </w:t>
        <w:br/>
        <w:t xml:space="preserve">(12) GOOGLE's business model is based on the interaction between online products and services, especially search, which does not charge end users, and the advertising services associated with the use of its products and services, which charge advertisers.  </w:t>
        <w:br/>
        <w:t xml:space="preserve">(13) Underlying this business model is the transfer of user data for subsequent processing with the aim of increasing knowledge of user preferences and, consequently, the relevance of the advertising offered. The accumulation of user information allows enhancing the network externalities of its personalized advertising services.  </w:t>
        <w:br/>
        <w:t xml:space="preserve">2.1.2 El Corte Inglés (ECI)  </w:t>
        <w:br/>
        <w:t xml:space="preserve">(14) ECI is a prominent Spanish distribution group. In addition to ECI department stores, the group has other chains such as Hipercor, Opencor, Supercor, Sfera, Telecor, Viajes El Corte Inglés, Bricor, Óptica 2000, and Informática El Corte Inglés.  </w:t>
        <w:br/>
        <w:t xml:space="preserve">2.2. COMPLAINANT  </w:t>
        <w:br/>
        <w:t xml:space="preserve">DGL  </w:t>
        <w:br/>
        <w:t xml:space="preserve">(15) DGL is the individual owner of the domain www.lacortedelingles.com since late 2009. As stated by the complainant in their letter, the website's main declared content is occultism and the study and analysis of the Illuminati order. The project is executed using the WordPress content management system and is hosted on a server from the German company IONOS. In 2014, DGL registered the trademark La Corte del Inglés with the OEPM under registration number 3.508.972, within class 42 for digital content hosting, specifically in online newspapers and blogs.  </w:t>
        <w:br/>
        <w:t xml:space="preserve">3. AFFECTED MARKETS  </w:t>
        <w:br/>
        <w:t xml:space="preserve">3.1. Principles  </w:t>
        <w:br/>
        <w:t xml:space="preserve">3.1.1 Product Market  </w:t>
        <w:br/>
        <w:t xml:space="preserve">(16) The definition of the relevant market seeks to determine the boundaries of competition between companies by identifying the immediate competitive pressures they face.  </w:t>
        <w:br/>
        <w:t xml:space="preserve">(17) The concept of the relevant product market implies that there is effective competition among the products or services that are part of it, due to the fact that, considering the specific use of those products or services, there is a sufficient degree of substitutability among them.  </w:t>
        <w:br/>
        <w:t xml:space="preserve">(18) An analysis of this type cannot be limited to examining the objective characteristics of the products and services in question, but must also take into account the competitive conditions and the structure of supply and demand.  </w:t>
        <w:br/>
        <w:t xml:space="preserve">(19) In this regard, companies are subjected to three main sources of competitive pressures: demand substitutability, supply substitutability, and potential competition.  </w:t>
        <w:br/>
        <w:t xml:space="preserve">(20) From an economic perspective, for the definition of the relevant market, demand substitutability is the most immediate and effective means of constraining the behavior of suppliers of a particular product10. Thus, the substitutability of products or services for the purposes of defining the relevant market must be evaluated primarily from the perspective of consumer demand.  </w:t>
        <w:br/>
        <w:t xml:space="preserve">(21) From this perspective, the factors that may be considered include the nature and technical characteristics of the products or services in question, consumer preferences, costs and barriers to switching, observed facts in the market, the historical development of those products or services, and also the business practices of the company11. Furthermore, the existence of independent companies in the market specialized in the manufacture and sale of the product or service is an “important indication” of the existence of a distinct market for that product or service12.  </w:t>
        <w:br/>
        <w:t xml:space="preserve">(22) On the other hand, supply substitutability may also be taken into account when defining markets in certain cases (particularly in cases where its effects are equivalent to those of demand substitutability in terms of effectiveness and immediate response). There is supply substitutability when suppliers can switch to producing the reference products and marketing them in the short term, without incurring significant additional costs or risks, in response to small relative variations in prices or demand conditions. When these conditions are met, the additional production that is marketed will have a restrictive effect on the competitive behavior of the affected companies.  </w:t>
        <w:br/>
        <w:t xml:space="preserve">(23) The third source of competitive pressure, potential competition, is not considered for the definition of the market, since the conditions under which potential competition would actually represent a competitive pressure  </w:t>
        <w:br/>
        <w:t xml:space="preserve">10 Communication from the Commission regarding the definition of the relevant market for the purposes of Community competition law (97/C 372/03), paragraph 13 (“Communication on the definition of the relevant market”).  </w:t>
        <w:br/>
        <w:t xml:space="preserve">11 Case T-201/04, Microsoft v Commission, EU:T:2007:289, paragraph 925. Furthermore, the Communication on the definition of the relevant market, paragraphs 38 to 43, also points out the following elements: (i) evidence of substitution in the recent past; (ii) quantitative tests specifically designed to delineate markets; (iii) opinions of customers and competitors; (iv) consumer preferences; (v) obstacles and costs related to shifting demand towards substitute products; and (vi) different categories of customers and price discrimination.  </w:t>
        <w:br/>
        <w:t>12 Case T-201/04, Microsoft v Commission, EU:T:2007:289, paragraph 927.</w:t>
      </w:r>
    </w:p>
    <w:p>
      <w:r>
        <w:rPr>
          <w:b/>
        </w:rPr>
        <w:t>[Pages 7–9]</w:t>
      </w:r>
    </w:p>
    <w:p>
      <w:r>
        <w:t xml:space="preserve">S/0023/20  </w:t>
        <w:br/>
        <w:t xml:space="preserve">GOOGLE-DIGITAL CONTENT HOSTING  </w:t>
        <w:br/>
        <w:t xml:space="preserve">depend on the analysis of specific factors and circumstances related to access conditions. If necessary, this analysis is not carried out until a later phase, once the position of the companies participating in the relevant market has been determined and that position raises issues from a competition perspective13.  </w:t>
        <w:br/>
        <w:t xml:space="preserve">3.1.2 Geographic market  </w:t>
        <w:br/>
        <w:t xml:space="preserve">(24) The relevant geographic market comprises the area in which the affected companies carry out activities of supplying the products and providing the services in question, where the competitive conditions are sufficiently homogeneous and which can be distinguished from other nearby geographic areas due, in particular, to the fact that the prevailing competitive conditions therein are significantly different from those14.  </w:t>
        <w:br/>
        <w:t xml:space="preserve">3.2. Application to the case  </w:t>
        <w:br/>
        <w:t xml:space="preserve">3.2.1. Product market  </w:t>
        <w:br/>
        <w:t xml:space="preserve">(25) An Internet search engine or "search engine" is a tool designed to search for information on the Internet. It consists of a search box in which queries can be entered. The results of the search for a specific query are generally presented in an ordered list of results. The information may consist of text (including news), maps, images, videos, or other types of content. Search engines such as those operated by Microsoft, Yahoo, or GOOGLE use algorithms to index web pages according to certain criteria and parameters in order to optimize the search for relevant information within the global network (the World Wide Web).  </w:t>
        <w:br/>
        <w:t xml:space="preserve">(26) Given the proliferation of web pages, search engines have become an indispensable tool for Internet users. Their funding occurs through so-called online advertising linked to Internet search, consisting of small text ads that appear alongside the search results when the user searches the Internet using one of the keywords that trigger the ad. By clicking on the ad, the advertiser's webpage opens. The online advertising market has been analyzed by the CNMC in previous files15, as well as within the framework of its function to promote competition16.  </w:t>
        <w:br/>
        <w:t xml:space="preserve">13 Communication on the definition of the relevant market, paragraph 24.  </w:t>
        <w:br/>
        <w:t xml:space="preserve">14 Communication on the definition of the relevant market, paragraph 8.  </w:t>
        <w:br/>
        <w:t xml:space="preserve">15 S/0346/11 GOOGLE.  </w:t>
        <w:br/>
        <w:t xml:space="preserve">16 E/CNMC/002/19 Study on the Online Advertising Sector in Spain, July 2021.  </w:t>
        <w:br/>
        <w:t xml:space="preserve">Comisión Nacional de los Mercados y la Competencia 7 of 23  </w:t>
        <w:br/>
        <w:t xml:space="preserve">C/ Alcalá, 47 – 28014 Madrid - C/ Bolivia, 56 – 08018 Barcelona  </w:t>
        <w:br/>
        <w:t>www.cnmc.es</w:t>
      </w:r>
    </w:p>
    <w:p>
      <w:r>
        <w:t xml:space="preserve">S/0023/20  </w:t>
        <w:br/>
        <w:t xml:space="preserve">GOOGLE-DIGITAL CONTENT HOSTING  </w:t>
        <w:br/>
        <w:t xml:space="preserve">(27) Regarding the existence of a specific market for "internet information search," separate from online advertising, both national precedents and those from the European Commission (EC) have addressed this in various files17.  </w:t>
        <w:br/>
        <w:t xml:space="preserve">(28) Specifically, in the file with reference number COMP/M.5727 MICROSOFT/YAHOO! SEARCH BUSINESS, the EC also raised the question of whether a specific market could be defined for internet searches, that is, for the provision of search results to Internet users using search engines.  </w:t>
        <w:br/>
        <w:t xml:space="preserve">(29) In this regard, the EC established, first, that general internet search must be distinguished from vertical internet search, which focuses on specific segments of online content such as, for example, legal, medical, or travel-related searches (hotels, airline tickets, etc.). Unlike general internet search engines, which index large portions of the internet through a web crawler, vertical search engines typically use a focused crawler that indexes only the web pages that are relevant to a predefined topic or set of topics.  </w:t>
        <w:br/>
        <w:t xml:space="preserve">(30) Secondly, the EC stated that internet search must also be distinguished from search within a specific website, that is, covering only the content of that single webpage. An example of this type of on-site search is the so-called "social search" conducted on social websites like Facebook. While the technology required to search the internet is more sophisticated and powerful than the technology for searching only within a website, the search technology on a website can also be used for this purpose, albeit in a more limited manner.  </w:t>
        <w:br/>
        <w:t xml:space="preserve">(31) However, the EC in the aforementioned file did not reach any definitive conclusion on this matter, among other reasons because, even if a specific market for online searches could be defined, it could still be considered that there are alternative methods for conducting internet searches that do not require a search engine (such as online directories) as well as other search formats outside the internet or offline.  </w:t>
        <w:br/>
        <w:t xml:space="preserve">(32) For its part, in the file AT.40099 GOOGLE ANDROID, the EC in its decision of July 2018 distinguished different relevant product markets and defined the market for general search services (online). This conclusion was based on the following considerations:  </w:t>
        <w:br/>
        <w:t xml:space="preserve">17 COMP/M.5727 MICROSOFT/YAHOO! SEARCH BUSINESS, AT.40099 GOOGLE ANDROID, S/0346/11 GOOGLE.  </w:t>
        <w:br/>
        <w:t xml:space="preserve">Comisión Nacional de los Mercados y la Competencia 8 of 23  </w:t>
        <w:br/>
        <w:t xml:space="preserve">C/ Alcalá, 47 – 28014 Madrid - C/ Bolivia, 56 – 08018 Barcelona  </w:t>
        <w:br/>
        <w:t>www.cnmc.es</w:t>
      </w:r>
    </w:p>
    <w:p>
      <w:r>
        <w:t xml:space="preserve">S/0023/20  </w:t>
        <w:br/>
        <w:t xml:space="preserve">GOOGLE-DIGITAL CONTENT HOSTING  </w:t>
        <w:br/>
        <w:t xml:space="preserve">a) The provision of general search services is an economic activity18.  </w:t>
        <w:br/>
        <w:t xml:space="preserve">b) General search services and other online services belong to different product markets19.  </w:t>
        <w:br/>
        <w:t xml:space="preserve">c) The product market for general search services encompasses both searches via personal computers and mobile devices20.  </w:t>
        <w:br/>
        <w:t xml:space="preserve">d) The product market for general search services includes searches through different operating systems21.  </w:t>
        <w:br/>
        <w:t xml:space="preserve">e) The product market for general search services covers any access point used by a smart mobile device22.  </w:t>
        <w:br/>
        <w:t xml:space="preserve">(33) Nonetheless, for the purposes of this file, this Chamber considers it unnecessary to make a conclusive statement regarding the exact delineation of the affected product markets, as this does not affect the assessment of the reported facts.  </w:t>
        <w:br/>
        <w:t xml:space="preserve">3.2.2. Geographic market  </w:t>
        <w:br/>
        <w:t xml:space="preserve">(34) The EC, in the already cited file AT.40099 GOOGLE ANDROID, considered that, in general, the market for online general search services is of a national nature. The EC bases its conclusion on the following considerations. First, although users can access general search services from anywhere in the world, the main general search services offer localized sites in different countries and in different languages. For example, GOOGLE has national sites for each country in the European Economic Area (EEA) and in almost all official languages of the Union. Furthermore, most users use the site of their own country/language when conducting searches.  </w:t>
        <w:br/>
        <w:t xml:space="preserve">(35) Secondly, there are barriers to extending search technology beyond national and linguistic borders. These barriers are one of the reasons why certain smaller general search services in the EEA primarily use their own search technology for websites in their own country and in their native language, while returning search results from GOOGLE or Bing for their websites.  </w:t>
        <w:br/>
        <w:t xml:space="preserve">18 See section 7.5.1 of file AT.40099 GOOGLE ANDROID.  </w:t>
        <w:br/>
        <w:t xml:space="preserve">19 See section 7.5.2 of file AT.40099 GOOGLE ANDROID.  </w:t>
        <w:br/>
        <w:t xml:space="preserve">20 See section 7.5.3 of file AT.40099 GOOGLE ANDROID.  </w:t>
        <w:br/>
        <w:t xml:space="preserve">21 See section 7.5.4 of file AT.40099 GOOGLE ANDROID.  </w:t>
        <w:br/>
        <w:t xml:space="preserve">22 See section 7.5.5 of file AT.40099 GOOGLE ANDROID.  </w:t>
        <w:br/>
        <w:t xml:space="preserve">Comisión Nacional de los Mercados y la Competencia 9 of 23  </w:t>
        <w:br/>
        <w:t xml:space="preserve">C/ Alcalá, 47 – 28014 Madrid - C/ Bolivia, 56 – 08018 Barcelona  </w:t>
        <w:br/>
        <w:t>www.cnmc.es</w:t>
      </w:r>
    </w:p>
    <w:p>
      <w:r>
        <w:rPr>
          <w:b/>
        </w:rPr>
        <w:t>[Pages 10–12]</w:t>
      </w:r>
    </w:p>
    <w:p>
      <w:r>
        <w:t xml:space="preserve">S/0023/20  </w:t>
        <w:br/>
        <w:t xml:space="preserve">GOOGLE-DIGITAL CONTENT HOSTING  </w:t>
        <w:br/>
        <w:t xml:space="preserve">in other countries or different languages. Furthermore, even for large multinational companies, the costs associated with expanding search technology to cover sites in other countries and in different languages can be prohibitive.  </w:t>
        <w:br/>
        <w:t xml:space="preserve">(36) In any case, it is not considered necessary to establish a specific definition of the geographic market, as its delimitation does not affect the conclusions of the analysis being conducted.  </w:t>
        <w:br/>
        <w:t xml:space="preserve">4. REPORTED FACTS  </w:t>
        <w:br/>
        <w:t xml:space="preserve">(37) In its complaint (received by the CNMC on July 28, 2020), DGL states that when entering the words the court in English into the GOOGLE search engine, the first organic results offered by the search engine, understood as the first three results, correspond to the company ECI and not to the complainant's blog LCDI. The complainant asserts that the positioning offered by GOOGLE to its brand, LCDI, when the aforementioned search is conducted represents a clear detriment to said brand, resulting in a loss of readers or visits to its blog.  </w:t>
        <w:br/>
        <w:t xml:space="preserve">(38) According to the complaint filed by DGL, this alteration in the results offered by the search engine occurs from May 14, 2020. The complainant claims that this fact coincides with the publication of an article discussing the alleged tax fraud of the president of ECI on its blog LCDI.  </w:t>
        <w:br/>
        <w:t xml:space="preserve">(39) DGL proposes two options that would explain the relegation of its website LCDI in the organic results returned by GOOGLE. On one hand, that it is GOOGLE itself manipulating its results directly, and on the other hand, that it is ECI who, “allegedly employing unfair and fraudulent techniques,” managed to alter the search result in the complainant's words23.  </w:t>
        <w:br/>
        <w:t xml:space="preserve">(40) According to the complainant, other search engines such as QWANT or DUCKDUCKGO would indeed offer the website of LCDI in their first results when searching for the court in English without quotation marks.  </w:t>
        <w:br/>
        <w:t xml:space="preserve">(41) DGL also accuses ECI, whether in collusion with GOOGLE or through unilateral fraudulent practices, of exclusively appropriating the words24 “Corte e Inglés.” For this reason, when entering these words together in the search engine, the only results shown are those belonging to ECI.  </w:t>
        <w:br/>
        <w:t xml:space="preserve">23 Page 3.  </w:t>
        <w:br/>
        <w:t xml:space="preserve">24 Page 10.  </w:t>
        <w:br/>
        <w:t xml:space="preserve">Comisión Nacional de los Mercados y la Competencia 10 de 23  </w:t>
        <w:br/>
        <w:t xml:space="preserve">C/ Alcalá, 47 – 28014 Madrid - C/ Bolivia, 56 – 08018 Barcelona  </w:t>
        <w:br/>
        <w:t>www.cnmc.es</w:t>
      </w:r>
    </w:p>
    <w:p>
      <w:r>
        <w:t xml:space="preserve">S/0023/20  </w:t>
        <w:br/>
        <w:t xml:space="preserve">GOOGLE-DIGITAL CONTENT HOSTING  </w:t>
        <w:br/>
        <w:t xml:space="preserve">(42) Finally, DGL accuses ECI of indexing parasitism or meta-tagging25. This practice would consist of using registered keywords as foreign trademarks in the programming of a website. The programming of a website is based on HTML technology, and it uses a series of keywords that are employed in the indexing processes and therefore in the search for relevant information. The consequences of using registered keywords as foreign trademarks would be threefold: first, benefiting from the search traffic of a foreign brand for one's own benefit. Second, it would generate a risk of confusion. Finally, and thirdly, it would cause an injury to the legitimate trademark rights of the holder.  </w:t>
        <w:br/>
        <w:t xml:space="preserve">5. LEGAL GROUNDS  </w:t>
        <w:br/>
        <w:t xml:space="preserve">5.1. Competence to Resolve  </w:t>
        <w:br/>
        <w:t xml:space="preserve">(43) According to Article 5.1.c) of the Law creating the CNMC, this body is responsible for “applying the provisions of Law 15/2007, of July 3, regarding behaviors that prevent, restrict, and distort competition”26. Article 20.2 of the same law assigns to the Council the function of “resolving the sanctioning procedures provided for in Law 15/2007, of July 3,” and, according to Article 14.1.a) of the Organic Statute of the CNMC, “the Competition Chamber shall hear matters related to the application of Law 15/2007, of July 3”27.  </w:t>
        <w:br/>
        <w:t xml:space="preserve">5.2. Object of the agreement and proposal of the instructing body  </w:t>
        <w:br/>
        <w:t xml:space="preserve">(44) The Competition Chamber must determine whether the requirements are met to agree to the non-initiation and filing of the proceedings in accordance with the provisions of Article 49.3 of the LDC.  </w:t>
        <w:br/>
        <w:t xml:space="preserve">(45) On May 26, 2023, the DC sent a proposal to the Council of the CNMC. In this document, it was proposed to file the proceedings due to the absence of evidence of the prohibited conduct, all with the following literal wording: “In accordance with the provisions of Article 49.3 of Law 15/2007, of July 3, on the Defense of Competition, it is proposed not to initiate the sanctioning procedure, as well as to file the present proceedings, considering that there are no indications of infringement of the aforementioned Law.”  </w:t>
        <w:br/>
        <w:t xml:space="preserve">5.3. Assessment of the Competition Chamber  </w:t>
        <w:br/>
        <w:t xml:space="preserve">(46) The Competition Chamber must determine whether, according to the complaint, there are sufficient indications to proceed with the initiation of a sanctioning file against GOOGLE and/or ECI for the possible violation of Articles 1, 2, or 3 of the LDC.  </w:t>
        <w:br/>
        <w:t xml:space="preserve">5.3.1. Possible application of Article 1 of the LDC  </w:t>
        <w:br/>
        <w:t xml:space="preserve">5.3.1.1. Principles  </w:t>
        <w:br/>
        <w:t xml:space="preserve">(47) For there to be a violation of Article 1 LDC, there must be an agreement, decision, or collective recommendation, or a concerted or consciously parallel practice. The reason is that the competitive functioning of the market requires that each operator decides its behavior and makes its decisions independently, as making these decisions in a concerted manner limits competition28.  </w:t>
        <w:br/>
        <w:t xml:space="preserve">(48) To initiate a sanctioning file for violation of Article 1 of the LDC, there must be indications of an agreement or a concerted or consciously parallel practice in which the operators, either fraudulently or negligently, agree to follow a certain competitive strategy in the affected market.  </w:t>
        <w:br/>
        <w:t xml:space="preserve">(49) The concept of concerted practice refers to a form of coordination among companies that, without having reached an express agreement, consciously replaces the risks of competition with practical coordination among them. It is noteworthy that while competition law does not prohibit the intelligent adaptation of companies to the behavior of others (interdependence), it does prohibit, on the other hand, any direct or indirect contact whose object or effect is to create competitive conditions that do not correspond to the normal conditions of the market, influencing the behavior of a real or potential competitor and facilitating a collusive outcome.  </w:t>
        <w:br/>
        <w:t xml:space="preserve">28 See Judgments of the AN of October 25 and 26 and November 15 and 28, 2012, and January 4, 22, 24, and 31 and February 26, 2013, in the context of file S/0226/10 Road Bids; of February 1, 4, 5, and 25, 2013, in relation to file S/0185/09 Fluid Pumps and judgments of the TS of March 12, 2014, June 8 and 17, 2015, and March 14, 2018, in relation to file S/0086/08 Professional Hairdressing.  </w:t>
        <w:br/>
        <w:t xml:space="preserve">Comisión Nacional de los Mercados y la Competencia 12 de 23  </w:t>
        <w:br/>
        <w:t xml:space="preserve">C/ Alcalá, 47 – 28014 Madrid - C/ Bolivia, 56 – 08018 Barcelona  </w:t>
        <w:br/>
        <w:t>www.cnmc.es</w:t>
      </w:r>
    </w:p>
    <w:p>
      <w:r>
        <w:rPr>
          <w:b/>
        </w:rPr>
        <w:t>[Pages 13–15]</w:t>
      </w:r>
    </w:p>
    <w:p>
      <w:r>
        <w:t xml:space="preserve">S/0023/20  </w:t>
        <w:br/>
        <w:t xml:space="preserve">GOOGLE-DIGITAL CONTENT HOSTING  </w:t>
        <w:br/>
        <w:t xml:space="preserve">(50) In short, Article 1 of the LDC prohibits both express agreements and implicit understandings regarding the conduct to be adopted in the market29.  </w:t>
        <w:br/>
        <w:t xml:space="preserve">5.3.1.2. Application to the present case  </w:t>
        <w:br/>
        <w:t xml:space="preserve">(51) According to the complaint filed by DGL with the CNMC, there would be reasonable indications of collusion between GOOGLE and ECI to alter the results provided by the GOOGLE search engine when the words the court in English are entered without quotation marks.  </w:t>
        <w:br/>
        <w:t xml:space="preserve">(52) During the investigation, the DC has tested entering the words the court in English into the GOOGLE search engine on different computers of the CNMC and at different times, both with and without quotation marks. The use of different computers is due to the fact that the GOOGLE search engine tends to personalize searches based on recent searches, so it is advisable to conduct the test on several computers to mitigate the bias produced by previous uses. Searches have also been conducted after clearing the browser's previous history to reduce any existing bias due to prior searches. Furthermore, the same test has been conducted at different times, as the result of a search may vary over time based on the numerous factors that affect the information provided by the search engine. The results obtained in all tests conducted have been substantially the same and are detailed below.  </w:t>
        <w:br/>
        <w:t xml:space="preserve">(53) When the words the court in English are entered without quotation marks into the GOOGLE search engine, the results for LCDI (whether the blog or its Facebook page) have appeared relegated from the top positions, if not from the first page of the displayed results, with the top positions going to ECI, in line with what was reported by DGL30. Conversely, when the words the court in English are entered in quotation marks, LCDI has appeared in first position31 in each and every test conducted.  </w:t>
        <w:br/>
        <w:t xml:space="preserve">(54) Regarding the previous finding, it is necessary to make a series of additional indications. First, it should be emphasized that, according to the information provided by GOOGLE on its website, only when the reference words are entered in quotation marks does the search engine perform a literal search. Consequently, and contrary to what DGL claims in its complaint, writing the court in English does not constitute a literal search for LCDI. Specifically, GOOGLE's support website states “COMMON TECHNIQUES OF  </w:t>
        <w:br/>
        <w:t xml:space="preserve">29 CNMC Resolution of 13.2.2013 in case S/0343/11, PAPER MANIPULATION.  </w:t>
        <w:br/>
        <w:t xml:space="preserve">30 Pages 41 and 42.  </w:t>
        <w:br/>
        <w:t xml:space="preserve">31 Pages 43 and 44.  </w:t>
        <w:br/>
        <w:t xml:space="preserve">Comisión Nacional de los Mercados y la Competencia 13 of 23  </w:t>
        <w:br/>
        <w:t xml:space="preserve">C/ Alcalá, 47 – 28014 Madrid - C/ Bolivia, 56 – 08018 Barcelona  </w:t>
        <w:br/>
        <w:t>www.cnmc.es</w:t>
      </w:r>
    </w:p>
    <w:p>
      <w:r>
        <w:t xml:space="preserve">S/0023/20  </w:t>
        <w:br/>
        <w:t xml:space="preserve">GOOGLE-DIGITAL CONTENT HOSTING  </w:t>
        <w:br/>
        <w:t xml:space="preserve">SEARCH […] Search for an exact match. Write the word or phrase you want in quotes. For example: "the tallest building"”.32  </w:t>
        <w:br/>
        <w:t xml:space="preserve">(55) Secondly, and in the same vein, although the details of GOOGLE's algorithm are not public domain, it is well known that the search engine, in its attempt to provide relevant information to users, prioritizes nouns over other words that contain less information, such as articles or prepositions, for example. In fact, in its search engine usage guide, GOOGLE includes the following recommendation: “Tip 3: Choose words carefully. When choosing the words you are going to include in the search box, try to use words that are more likely to appear on the website you are searching for. For example, instead of saying I have a headache, use headache, which is the term that would be used on a medical site”.33  </w:t>
        <w:br/>
        <w:t xml:space="preserve">(56) The necessity of entering quotation marks for literal searches and the fact of prioritizing nouns over articles or prepositions constitutes a verifiable policy of GOOGLE for any search and responds to reasonable objectives, without concluding, based on the available evidence, that this is the result of an agreement with ECI to alter search results in favor of ECI and to the detriment of LCDI.  </w:t>
        <w:br/>
        <w:t xml:space="preserve">(57) On the other hand, and according to the corporate information provided by ECI on its own website, the group received more than 759 million visits to its website and app in the year 202034 alone. Therefore, it is not surprising, in the opinion of this Chamber, that when entering the words the court in English into the GOOGLE search engine, the organic results associated with ECI appear in first position, and not LCDI, whose traffic is much lower compared to that generated by ECI's website. Indeed, according to Alexa35, one of the leading web traffic measurement companies, ECI's website is among the most visited sites in Spain, while the LCDI website does not even appear in Alexa's statistics due to insufficient traffic volume36.  </w:t>
        <w:br/>
        <w:t xml:space="preserve">(58) Furthermore, it is relevant to note that GOOGLE weighs the words court and English above articles and prepositions, unless the quotation marks are specified, to provide what it considers to be the most relevant information for the user, in line with its general policy for any search.  </w:t>
        <w:br/>
        <w:t xml:space="preserve">32 https://support.google.com/websearch/answer/2466433?hl=en  </w:t>
        <w:br/>
        <w:t xml:space="preserve">33 https://support.google.com/websearch/answer/134479?hl=en  </w:t>
        <w:br/>
        <w:t xml:space="preserve">34 https://www.elcorteingles.es/informacioncorporativa/en/  </w:t>
        <w:br/>
        <w:t xml:space="preserve">35 https://www.alexa.com.  </w:t>
        <w:br/>
        <w:t xml:space="preserve">36 Pages 38 to 40.  </w:t>
        <w:br/>
        <w:t xml:space="preserve">Comisión Nacional de los Mercados y la Competencia 14 of 23  </w:t>
        <w:br/>
        <w:t xml:space="preserve">C/ Alcalá, 47 – 28014 Madrid - C/ Bolivia, 56 – 08018 Barcelona  </w:t>
        <w:br/>
        <w:t>www.cnmc.es</w:t>
      </w:r>
    </w:p>
    <w:p>
      <w:r>
        <w:t xml:space="preserve">S/0023/20  </w:t>
        <w:br/>
        <w:t xml:space="preserve">GOOGLE-DIGITAL CONTENT HOSTING  </w:t>
        <w:br/>
        <w:t xml:space="preserve">(59) For the same reasons stated, there are no indications of the existence of collusion between GOOGLE and ECI to "appropriate" the terms court and English as claimed by the complainant. Again, the difference in traffic between ECI's website and LCDI's justifies by itself that the GOOGLE search engine positions ECI in the top results when the aforementioned search is conducted. In addition to the objective traffic, the relevance and brand recognition of ECI in Spain justifies the behavior of the search engine. Finally, as noted, in the case of entering the court in English in quotation marks (as GOOGLE itself recommends for conducting such searches), it has been verified that LCDI appears in first position among the results offered by the search engine37.  </w:t>
        <w:br/>
        <w:t xml:space="preserve">(60) It is also significant to highlight that DGL has not provided any evidence, even circumstantial, of the alleged collusion between ECI and GOOGLE referred to in its complaint, as it merely conveys a subjective conjecture. In contrast, as already indicated, there is a rational and non-anticompetitive explanation that justifies the classification of relevant information by the GOOGLE search engine, both when the words the court in English are entered without quotation marks or simply the words court English.  </w:t>
        <w:br/>
        <w:t xml:space="preserve">(61) For all the above reasons, this Chamber considers that, in light of the complaint filed and the investigative actions carried out by the DC, there are no reasonable indications of an agreement or concerted practice, restrictive of competition by its object or effects, between GOOGLE and ECI, that would justify the initiation of a sanctioning file for violation of Article 1 LDC against these companies.  </w:t>
        <w:br/>
        <w:t xml:space="preserve">5.3.2. Possible application of Article 2 of the LDC  </w:t>
        <w:br/>
        <w:t xml:space="preserve">5.3.2.1. Principles  </w:t>
        <w:br/>
        <w:t xml:space="preserve">(62) To establish the concurrence of the type of Article 2 of the LDC, it is necessary, first, to establish that the investigated company holds a dominant position in the relevant market—which is not unlawful per se—and to demonstrate, secondly, that the company has abused that dominant position.  </w:t>
        <w:br/>
        <w:t xml:space="preserve">37 Pages 43 and 44  </w:t>
        <w:br/>
        <w:t xml:space="preserve">Comisión Nacional de los Mercados y la Competencia 15 of 23  </w:t>
        <w:br/>
        <w:t xml:space="preserve">C/ Alcalá, 47 – 28014 Madrid - C/ Bolivia, 56 – 08018 Barcelona  </w:t>
        <w:br/>
        <w:t>www.cnmc.es</w:t>
      </w:r>
    </w:p>
    <w:p>
      <w:r>
        <w:rPr>
          <w:b/>
        </w:rPr>
        <w:t>[Pages 16–18]</w:t>
      </w:r>
    </w:p>
    <w:p>
      <w:r>
        <w:t xml:space="preserve">S/0023/20  </w:t>
        <w:br/>
        <w:t xml:space="preserve">GOOGLE-DIGITAL CONTENT HOSTING  </w:t>
        <w:br/>
        <w:t xml:space="preserve">(63) Although Article 2 of the LDC does not define the concept of a dominant position, in accordance with established European jurisprudence38, the Communication from the CE39, as well as numerous Resolutions from the Spanish Competition Authority40, the dominant position has been defined as the situation of economic power in which a company finds itself, allowing it to prevent effective competition in the relevant market, granting it the ability to behave with a significant degree of independence from its competitors, its customers, and ultimately, consumers.  </w:t>
        <w:br/>
        <w:t xml:space="preserve">(64) When determining a company's dominant position, as noted in the aforementioned Communication from the CE41, “market shares provide a first useful indication for the Commission regarding the structure of the market and the relative importance of the various companies active in the market.” However, the CE has also indicated that this is not the only criterion to consider and that the conditions of the relevant market must be examined, particularly the market dynamics. Thus, the CJEU has specified: “The existence of a dominant position is, in general, the result of a combination of various factors that, considered in isolation, would not necessarily be decisive”42.  </w:t>
        <w:br/>
        <w:t xml:space="preserve">(65) Therefore, a high market share is not sufficient to conclude the existence of a dominant position. For the assessment of the dominant position, it is necessary to conduct a structural analysis of the market and take into account other determining factors, such as the likelihood of entry by potential competitors or the future expansion of actual competitors, along with entry barriers and the bargaining power of the company's customers (countervailing demand power)43.  </w:t>
        <w:br/>
        <w:t xml:space="preserve">38 CJEU Judgments United Brands v. Commission (Case 27/76, Rec. 1977); Hoffman-La Roche v. Commission (Case 85/76, Rec. 1979); Michelin v. Commission (Case 3222/81, Rec. 1983), Télémarketing (Case 311/84, Rec. 1985) and TeliaSonera Sverige v. Commission (Case 52/09, Rec. 2011).  </w:t>
        <w:br/>
        <w:t xml:space="preserve">39 Guidelines on the Commission's priorities in applying Article 82 of the EC Treaty to abusive exclusionary conduct by dominant companies (2009/C 45/02).  </w:t>
        <w:br/>
        <w:t xml:space="preserve">40 Resolution of the now-defunct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Criadores de caballos 2) and Resolution of the CNMC of May 30, 2019 (File S/DC/0590/16 DAMA VS SGAE).  </w:t>
        <w:br/>
        <w:t xml:space="preserve">41 Paragraphs 13 and 15 of the European Commission Communication “Guidelines on the Commission's priorities in applying Article 82 of the EC Treaty to abusive exclusionary conduct by dominant companies.”  </w:t>
        <w:br/>
        <w:t xml:space="preserve">42 CJEU Judgment of December 6, 2012, Astrazeneca AB and Astrazeneca plc v. Commission.  </w:t>
        <w:br/>
        <w:t xml:space="preserve">43 European Commission Decision of February 10, 2021 in case AT.40394 – ASPEN.  </w:t>
        <w:br/>
        <w:t xml:space="preserve">S/0023/20  </w:t>
        <w:br/>
        <w:t xml:space="preserve">GOOGLE-DIGITAL CONTENT HOSTING  </w:t>
        <w:br/>
        <w:t xml:space="preserve">(66) As previously mentioned, the fact that a company holds a dominant position is not in itself contrary to competition rules44. However, it is the responsibility of the company that holds such a dominant position, regardless of the causes that explain this situation, to ensure that its behavior does not impede the development of effective and undistorted competition in the internal market45. The scope of the special responsibility that weighs on a dominant company must be assessed in light of the specific circumstances of each case, demonstrating how and to what extent competition is weakened46. The conduct must have at least a potential anti-competitive effect, without the need to demonstrate that the practice has caused a real effect in the market.  </w:t>
        <w:br/>
        <w:t xml:space="preserve">5.3.2.2. Application to the present case  </w:t>
        <w:br/>
        <w:t xml:space="preserve">(67) As a preliminary step to establish whether GOOGLE is a dominant operator, it is necessary to define the relevant market in which such a dominant position would exist.  </w:t>
        <w:br/>
        <w:t xml:space="preserve">(68) If the existence of a general internet search market of a national character were accepted, GOOGLE would have a consolidated market share exceeding 90%47 in Spain.  </w:t>
        <w:br/>
        <w:t xml:space="preserve">(69) However, in this case, it is not necessary to reach a conclusion on the exact definition of the relevant market. This is because, as detailed below, no indications have been identified that the reported facts could constitute an abusive practice in the sense of Article 2 of the LDC.  </w:t>
        <w:br/>
        <w:t xml:space="preserve">44 CJEU Judgment of November 9, 1983, C-322/81, Michelin I (paragraph 57), CJEU Judgment of February 17, 2011, C-52/09 TeliaSonera Sverige (paragraph 24) and CJEU Judgment of September 6, 2017, C-413/14, Intel (paragraph 133). At the national level, see the Judgment of the Supreme Court of May 8, 2003, appeal 4495/1998 (Legal Basis Seventh).  </w:t>
        <w:br/>
        <w:t xml:space="preserve">45 CJEU Judgment of November 9, 1983, C-322/81, Michelin I (paragraph 57); CJEU Judgment of April 2, 2009, C-202/07 France Télécom (paragraph 105); CJEU Judgment of March 27, 2012, C-209/10 Post Danmark (paragraph 23); CJEU Judgment of June 12, 2014, C-286/09, Intel (paragraph 205); CJEU Judgment of September 6, 2017 C-413/14 P Intel (paragraph 135) and CJEU Judgment of March 25, 2021 C-165/19 P Slovak Telecom (paragraph 40). At the national level, see the Judgment of the Supreme Court 3175/2010 of June 16, 2010, appeal 4714/2007 (Legal Basis Seventh), the Judgment of the Supreme Court 478/2011, of February 10, 2011, appeal 3042/2008 (Legal Basis Second), and the Judgment of the National Court 8670/2004 of January 14, 2004, appeal 892/2000 (Legal Basis Seventh).  </w:t>
        <w:br/>
        <w:t xml:space="preserve">46 CJEU Judgment of March 16, 2000, C-395/96 and C-396/96, Compagnie Maritime Belge Transports and Others (paragraph 114) and CJEU Judgment of February 17, 2011, C-52/09 TeliaSonera Sverige (paragraph 84).  </w:t>
        <w:br/>
        <w:t xml:space="preserve">47 https://gs.statcounter.com/  </w:t>
        <w:br/>
        <w:t xml:space="preserve">S/0023/20  </w:t>
        <w:br/>
        <w:t xml:space="preserve">GOOGLE-DIGITAL CONTENT HOSTING  </w:t>
        <w:br/>
        <w:t xml:space="preserve">(70) Indeed, the complainant has not provided any evidence pointing to an abusive action by GOOGLE that had an anti-competitive effect. The complainant has also not provided any evidence that the relative better positioning of ECI in the organic search results on GOOGLE is due to abusive conduct by ECI (even assuming that this company had a dominant position in any relevant market).  </w:t>
        <w:br/>
        <w:t xml:space="preserve">(71) As previously indicated, regarding ECI, its prominence in the search results returned by GOOGLE when entering the words la corte del inglés or corte inglés (without quotation marks) cannot be attributed to causes other than merit, as the number of visits received by ECI is significantly higher than that of LCDI, and the GOOGLE search engine considers nouns to be more relevant than other words such as articles, among other criteria aimed at providing the most relevant information possible to its users.  </w:t>
        <w:br/>
        <w:t xml:space="preserve">(72) The conduct reported, particularly the positioning results derived from the relevance criteria used by the search engine's algorithm regarding the words used in the searches, cannot be deemed abusive, in light of the context and, in particular, its justification.  </w:t>
        <w:br/>
        <w:t xml:space="preserve">(73) For all these reasons, this Chamber considers that no indications of the existence of abusive conduct have been provided that would justify the initiation of sanctioning proceedings against GOOGLE or ECI for violation of Article 2 of the LDC.  </w:t>
        <w:br/>
        <w:t xml:space="preserve">5.3.3. Possible application of Article 3 of the LDC  </w:t>
        <w:br/>
        <w:t xml:space="preserve">5.3.3.1. Principles  </w:t>
        <w:br/>
        <w:t xml:space="preserve">(74) The infringement of Article 3 of the LDC requires, on the one hand, an act of unfair competition, as established in Law 3/1991, of January 10, on Unfair Competition (LCD) and, on the other hand, that such act has sufficient significance to cause a disturbance of the mechanisms regulating the functioning of the market, affecting the public interest. Therefore, the impact on a private interest, such as that of a specific operator, is not sufficient.  </w:t>
        <w:br/>
        <w:t xml:space="preserve">(75) These requirements are cumulative and independent, so that the absence of one of them is sufficient to rule out an infringement of Article 3 of the LDC.  </w:t>
        <w:br/>
        <w:t>(76) As defined by the jurisprudence of the Supreme Court, “The protection of the public interests at stake legitimizes, according to the Spanish legislator, the eventual action of the administrative bodies responsible for preserving free competition to suppress unfair conduct by entrepreneurs that, in addition...</w:t>
      </w:r>
    </w:p>
    <w:p>
      <w:r>
        <w:rPr>
          <w:b/>
        </w:rPr>
        <w:t>[Pages 19–21]</w:t>
      </w:r>
    </w:p>
    <w:p>
      <w:r>
        <w:t xml:space="preserve">S/0023/20  </w:t>
        <w:br/>
        <w:t xml:space="preserve">GOOGLE-DIGITAL CONTENT HOSTING  </w:t>
        <w:br/>
        <w:t xml:space="preserve">of being so, affect those public interests by significantly distorting competition in the market”48.  </w:t>
        <w:br/>
        <w:t xml:space="preserve">(77) From the perspective of competition law, the CNMC is the body responsible for preserving, guaranteeing, and promoting the existence of effective competition in the markets, and is only authorized to judge the unfairness of conduct when, taking into account the legal and economic context in which it occurs, it is apt to restrict effective competition in the market, which is the public interest protected by the LDC.  </w:t>
        <w:br/>
        <w:t xml:space="preserve">5.3.3.2. Application to the present case  </w:t>
        <w:br/>
        <w:t xml:space="preserve">(78) The complainant argues in their submission that ECI would be employing “an unfair technique that fraudulently uses a third party's brand to position itself in the top organic search results of the search engine”49. Specifically, the complainant refers to a practice known as metatagging in industry jargon.  </w:t>
        <w:br/>
        <w:t xml:space="preserve">(79) Metatags are a type of tag used in HTML language for web page programming that are incorporated in the header of such a page. They are not visible at first glance, but can be accessed through the appropriate function of the search engine in question. Metatags are used by browsers or other programs when searching for information. Their purpose is to include reference information (metadata) about the page: author, title, date, keywords, description, etc., which facilitates its location. Metatagging is of great relevance for web pages when positioning themselves in the results offered by a search engine.  </w:t>
        <w:br/>
        <w:t xml:space="preserve">(80) According to DGL, metatagging is defined as “an unfair technique that fraudulently uses a third party's brand to position itself in the top organic search results of the search engine”50.  </w:t>
        <w:br/>
        <w:t xml:space="preserve">(81) However, this definition is imprecise as it does not define what constitutes that unfair behavior that allows a company to appear in the top search results. Based on the established case law that will be analyzed below, metatagging can be defined as the use of third-party brands (in whole or in part) when creating the metatags of a website. The sought objective would be to benefit from the positioning of third parties to, in turn, improve the positioning of the website that uses those metatags. This practice could constitute a violation of the provisions established by Law 17/2001, of December 7, on Trademarks. Article 34 of the Trademark Law empowers the holder to prohibit any third party from using any sign in commercial traffic without their consent in relation to products or services, when certain conditions are met, especially linked to its use for identical or similar products or services to those of the brand used. In turn, the LDC establishes as an act of unfair competition taking advantage in the market of a significant competitive advantage acquired through the violation of laws (Article 15 of the LDC).  </w:t>
        <w:br/>
        <w:t xml:space="preserve">(82) One of the first rulings related to metatagging was issued by the CJEU in the case Marks &amp; Spencer vs. Interflora (case 323/09, judgment of September 22, 2011). In this judgment, the court establishes that an infringement will only exist when confusion is generated regarding the origin of the offer; specifically, it states, “The holder of a trademark is entitled to prohibit a competitor from advertising –based on a keyword identical to that trademark which the said competitor selected within the framework of an Internet referencing service without the consent of the holder– products or services identical to those for which the trademark is registered, when such use may undermine one of the functions of the trademark”; but the judgment adds that “when the advertising that appears on the Internet based on a keyword corresponding to a well-known trademark proposes an alternative to the products or services of the holder of the well-known trademark without offering a mere imitation of the products or services of the holder of that trademark, without causing dilution or blurring and without otherwise undermining the functions of the aforementioned trademark, it should be concluded that this use constitutes, in principle, fair and healthy competition.”  </w:t>
        <w:br/>
        <w:t xml:space="preserve">(83) In the case of Spain, the judgment of the Supreme Court 620/2016 of February 26 (case MASALTOS) and the judgment of the Supreme Court 541/2017 of February 15 (case ORONA) pronounce in the same sense, dismissing that the mere existence of metatags in the programming of a company's web page referring to third-party brands constitutes per se an infringement, as other criteria must be present that generate a risk of confusion to the consumer, such as the explicit inclusion of a brand in an advertisement.  </w:t>
        <w:br/>
        <w:t xml:space="preserve">(84) Consequently, and without prejudging the legality or illegality of the practices allegedly attributed to ECI or whether ECI actually carries them out, the cited case law supports the use of metatags that refer to third-party brands, even when similar products or services are offered, as long as no confusion is generated in the consumer regarding the origin of the offer. This would be even more the case if the services and products offered are different, as this substantially reduces the risk of confusion between the brands.  </w:t>
        <w:br/>
        <w:t xml:space="preserve">(85) In the same line of reasoning, it is worth mentioning the judgment of the High Court of Justice of Madrid (212/2017) dated March 22, 2017, which resolves the contentious administrative appeal filed by ECI against the resolution of October 30, 2014, issued by the OEPM, which granted the registration of trademark number 3.508.972 “la corte del inglés” in class 42 “Digital content hosting, specifically, online newspapers and blogs.”  </w:t>
        <w:br/>
        <w:t xml:space="preserve">(86) In this judgment, it is stated that the cause for prohibition of registration contained in Article 6.1.b) of the Trademark Law does not apply, considering that between the conflicting signs of ECI and LCDI there are “sufficient denominative, phonetic, conceptual, and graphic disparities between the conflicting signs to ensure reciprocal differentiation, excluding any risk of error or confusion in the market.” This leads the TSJM to understand that “the comparative analysis of the conflicting trademarks must be carried out taking into account their complete denominations; that is, EL CORTE INGLÉS […] and LA CORTE DEL INGLÉS […] once this comparison is made, even though both coincide in the use of the words CORTE and INGLES, there are, however, sufficient overall disparities to ensure the reciprocal compatibility of the conflicting trademarks.” In the opinion of this Chamber, and since the criterion of absence of risk or confusion between the trademarks applies in both directions, there would be no risk of confusion for users of ECI or LCDI between the products and services intended to be covered by each trademark. It therefore seems unlikely that, regardless of the product or service demanded by a user, they would end up resorting to the opposing brand to the one desired. In other words, if the cited judgment supported the OPME file because there was no risk that a user would confuse ECI with LCDI, there is also no risk in the opposite direction.  </w:t>
        <w:br/>
        <w:t>(87) On the other hand, the various rulings of European and Spanish case law relevant to the complaint under analysis have been excluding the liability of the search engine (GOOGLE in this file) in cases of metatagging. Indeed, in the judgment of the CJEU of March 23, 2010, in the case Google France SARL and Google Inc., against Louis Vuitton Malletier SA., it is indicated that “The provider of an Internet referencing service that stores as a keyword a sign identical to a trademark and organizes the display of advertisements based on that sign does not make use of that sign in the sense of Article 5, paragraphs 1 and 2, of the Directive […] or Article 9, paragraph 1, of the Regulation […] Article 14 of the Directive on electronic commerce must be interpreted in the sense that the rule it establishes applies to the provider of an Internet referencing service when it does not play an active role that could give it knowledge or control of the stored data. If it does not play such a role, the provider of the data cannot be held liable.</w:t>
      </w:r>
    </w:p>
    <w:p>
      <w:r>
        <w:rPr>
          <w:b/>
        </w:rPr>
        <w:t>[Pages 22–23]</w:t>
      </w:r>
    </w:p>
    <w:p>
      <w:r>
        <w:t xml:space="preserve">S/0023/20  </w:t>
        <w:br/>
        <w:t xml:space="preserve">GOOGLE-DIGITAL CONTENT HOSTING  </w:t>
        <w:br/>
        <w:t xml:space="preserve">stored at the request of the advertiser, unless, upon becoming aware of the unlawfulness of these data or the activities of the advertiser, it does not act promptly to remove the data or make access to it impossible.”  </w:t>
        <w:br/>
        <w:t xml:space="preserve">(88) Additionally, and without prejudging the legality, or not, of the meta-tagging practices by ECI on its website, the meta-tags used by ECI on its website (www.elcorteingles.es) have been analyzed, and no tags with the mark “la corte del inglés” or an equivalent variant that unequivocally identifies the complainant's blog (LDCI) have been found51. For its part, the complainant has also not provided evidence that ECI has used meta-tags with the mark LCDI in the programming of its website, despite the fact that the meta-tagging of a website is public domain. Consequently, it would not be possible to assess the legality or illegality of a specific meta-tagging practice of which there is no record of having occurred.  </w:t>
        <w:br/>
        <w:t xml:space="preserve">(89) Therefore, the requirement for the existence of an act of unfair competition is not met.  </w:t>
        <w:br/>
        <w:t xml:space="preserve">(90) Notwithstanding the above, in the case under analysis, given the asymmetry between the number of visits to LCDI and ECI, the reported conduct would not be suitable to distort market mechanisms to the point of affecting the public interest.  </w:t>
        <w:br/>
        <w:t xml:space="preserve">(91) There are therefore no sufficient indications that the referred conducts could constitute a violation of Article 3 of the LDC by the reported companies, such as to justify the initiation of a sanctioning procedure for infringement of said provision.  </w:t>
        <w:br/>
        <w:t xml:space="preserve">(92) In light of all the above, this Chamber  </w:t>
        <w:br/>
        <w:t xml:space="preserve">6. AGREES  </w:t>
        <w:br/>
        <w:t xml:space="preserve">Sole. Not to initiate sanctioning proceedings and to archive the actions carried out in the context of the reserved information S/0023/20 for possible conduct contrary to Articles 1, 2, and 3 of Law 15/2007, of July 3, on the Defense of Competition against Google Inc. and El Corte Ingles S.A. as no indications of infringement are appreciated at this time.  </w:t>
        <w:br/>
        <w:t xml:space="preserve">Communicate this Agreement to the Competition Directorate of the National Commission on Markets and Competition and notify the complainant, informing them that there is no appeal against it in the administrative route, and that they may file a contentious-administrative appeal before the Audiencia Nacional within two months from the day following its notification.  </w:t>
        <w:br/>
        <w:t xml:space="preserve">Comisión Nacional de los Mercados y la Competencia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