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https://www.cnmc.es/expedientes/s002420</w:t>
      </w:r>
    </w:p>
    <w:p>
      <w:r>
        <w:t>Pages translated : 16</w:t>
      </w:r>
    </w:p>
    <w:p/>
    <w:p>
      <w:r>
        <w:rPr>
          <w:b/>
        </w:rPr>
        <w:t>[Pages 1–3]</w:t>
      </w:r>
    </w:p>
    <w:p>
      <w:r>
        <w:t xml:space="preserve">S/0024/20  </w:t>
        <w:br/>
        <w:t>THE GOOD BURGER</w:t>
      </w:r>
    </w:p>
    <w:p>
      <w:r>
        <w:t>AGREEMENT OF NON-INITIATION AND FILING OF THE PROCEEDINGS</w:t>
      </w:r>
    </w:p>
    <w:p>
      <w:r>
        <w:t xml:space="preserve">S/0024/20  </w:t>
        <w:br/>
        <w:t>THE GOOD BURGER</w:t>
      </w:r>
    </w:p>
    <w:p>
      <w:r>
        <w:t xml:space="preserve">COUNCIL. COMPETITION CHAMBER  </w:t>
        <w:br/>
        <w:t xml:space="preserve">Chairwoman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Mr. Miguel Bordiu García-Ovies</w:t>
      </w:r>
    </w:p>
    <w:p>
      <w:r>
        <w:t xml:space="preserve">In Madrid, on November 6, 2024  </w:t>
        <w:br/>
        <w:t>The Competition Chamber of the Council of the National Commission on Markets and Competition (CNMC) with the composition expressed, has issued the following resolution in the referenced procedure processed by the Directorate of Competition for alleged anti-competitive practices contrary to Article 1 of Law 15/2007, of July 3, on the Defense of Competition (LDC) and Article 101 of the Treaty on the Functioning of the European Union (TFEU).</w:t>
      </w:r>
    </w:p>
    <w:p>
      <w:r>
        <w:t xml:space="preserve">National Commission on Markets and Competition 1 of 16  </w:t>
        <w:br/>
        <w:t xml:space="preserve">C/ Alcalá, 47 – 28014 Madrid - C/ Bolivia, 56 – 08018 Barcelona  </w:t>
        <w:br/>
        <w:t>www.cnmc.es</w:t>
      </w:r>
    </w:p>
    <w:p>
      <w:r>
        <w:t xml:space="preserve">S/0024/20  </w:t>
        <w:br/>
        <w:t>THE GOOD BURGER</w:t>
      </w:r>
    </w:p>
    <w:p>
      <w:r>
        <w:t xml:space="preserve">TABLE OF CONTENTS  </w:t>
        <w:br/>
        <w:t xml:space="preserve">1. BACKGROUND ........................................................................................ 3  </w:t>
        <w:br/>
        <w:t xml:space="preserve">2. THE PARTIES .......................................................................................... 3  </w:t>
        <w:br/>
        <w:t xml:space="preserve">Complainant: FAMILY BURGER, S.L. .................................................... 3  </w:t>
        <w:br/>
        <w:t xml:space="preserve">Defendant: THE GOOD BURGER COMPANY, S.L. ............................ 3  </w:t>
        <w:br/>
        <w:t xml:space="preserve">3. MARKET .................................................................................................. 4  </w:t>
        <w:br/>
        <w:t xml:space="preserve">Product and geographical market .......................................................... 4  </w:t>
        <w:br/>
        <w:t xml:space="preserve">Regulatory framework ......................................................................... 6  </w:t>
        <w:br/>
        <w:t xml:space="preserve">4. REPORTED FACTS .................................................................................. 6  </w:t>
        <w:br/>
        <w:t xml:space="preserve">5. LEGAL BASIS ........................................................................................ 9  </w:t>
        <w:br/>
        <w:t xml:space="preserve">Jurisdiction to Resolve ........................................................................ 9  </w:t>
        <w:br/>
        <w:t xml:space="preserve">Proposal of the instructing body .......................................................... 9  </w:t>
        <w:br/>
        <w:t xml:space="preserve">Assessment of the Competition Chamber ........................................... 9  </w:t>
        <w:br/>
        <w:t xml:space="preserve">5.3.1. Applicable regulations ........................................................................................ 9  </w:t>
        <w:br/>
        <w:t xml:space="preserve">5.3.2. On the alleged price fixing ................................................................................ 11  </w:t>
        <w:br/>
        <w:t xml:space="preserve">5.3.3. On the approved suppliers ............................................................................... 14  </w:t>
        <w:br/>
        <w:t xml:space="preserve">6. AGREEMENT OF NON-INITIATION AND FILING OF THE PROCEEDINGS . 15  </w:t>
        <w:br/>
        <w:t xml:space="preserve">National Commission on Markets and Competition 2 of 16  </w:t>
        <w:br/>
        <w:t xml:space="preserve">C/ Alcalá, 47 – 28014 Madrid - C/ Bolivia, 56 – 08018 Barcelona  </w:t>
        <w:br/>
        <w:t>www.cnmc.es</w:t>
      </w:r>
    </w:p>
    <w:p>
      <w:r>
        <w:t xml:space="preserve">S/0024/20  </w:t>
        <w:br/>
        <w:t>THE GOOD BURGER</w:t>
      </w:r>
    </w:p>
    <w:p>
      <w:r>
        <w:t xml:space="preserve">1. BACKGROUND  </w:t>
        <w:br/>
        <w:t xml:space="preserve">(1) On June 9, 2020, the legal representative of the company FAMILY BURGER, S.L. (hereinafter, FAMILY BURGER) filed a complaint with the CNMC against THE GOOD BURGER COMPANY, S.L. (TGB) for alleged infringement of Article 1 of Law 15/2007, of July 3, on the Defense of Competition (LDC) and Article 101 of the Treaty on the Functioning of the European Union (TFEU).  </w:t>
        <w:br/>
        <w:t xml:space="preserve">(2) The subject of the complaint is a series of behaviors by TGB towards its franchisees that are classified as "imposition of sales prices for services and products."  </w:t>
        <w:br/>
        <w:t xml:space="preserve">(3) In order to determine the reality of the reported facts and whether there might be indications of infringement that would justify the initiation of a sanctioning proceeding, the Directorate of Competition initiated a reserved inquiry, in accordance with the provisions of Article 49.2 of the LDC, with file number S/0024/20, to which the complaint and attached information provided by the complainant were incorporated. In the framework of the reserved inquiry, the DC has made several requests for information to the complainant and the defendant.  </w:t>
        <w:br/>
        <w:t xml:space="preserve">(4) On October 16, 2024, the Directorate of Competition, in application of the provisions of Article 49.3 of the LDC, issued a proposal for non-initiation of a sanctioning proceeding and filing of the proceedings, considering that the reported facts did not show indications of infringement of the LDC.  </w:t>
        <w:br/>
        <w:t>(5) The Competition Chamber of the Council of the CNMC has deliberated and ruled on the matter in its meeting of November 6, 2024.</w:t>
      </w:r>
    </w:p>
    <w:p>
      <w:r>
        <w:t xml:space="preserve">2. THE PARTIES  </w:t>
        <w:br/>
        <w:t xml:space="preserve">Complainant: FAMILY BURGER, S.L.  </w:t>
        <w:br/>
        <w:t xml:space="preserve">(6) The complainant is a Spanish company with its registered office in Albacete dedicated to the restaurant business through the operation of a franchise of the brand "TGB."  </w:t>
        <w:br/>
        <w:t xml:space="preserve">Defendant: THE GOOD BURGER COMPANY, S.L.  </w:t>
        <w:br/>
        <w:t xml:space="preserve">(7) TGB is a Spanish company whose activity is the leasing of intellectual property and similar products, except for works protected by copyright.  </w:t>
        <w:br/>
        <w:t xml:space="preserve">National Commission on Markets and Competition 3 of 16  </w:t>
        <w:br/>
        <w:t xml:space="preserve">C/ Alcalá, 47 – 28014 Madrid - C/ Bolivia, 56 – 08018 Barcelona  </w:t>
        <w:br/>
        <w:t>www.cnmc.es</w:t>
      </w:r>
    </w:p>
    <w:p>
      <w:r>
        <w:rPr>
          <w:b/>
        </w:rPr>
        <w:t>[Pages 4–6]</w:t>
      </w:r>
    </w:p>
    <w:p>
      <w:r>
        <w:t xml:space="preserve">S/0024/20  </w:t>
        <w:br/>
        <w:t>THE GOOD BURGER</w:t>
      </w:r>
    </w:p>
    <w:p>
      <w:r>
        <w:t>(8) TGB belongs to RESTALIA GRUPO DE EUROALIMENTACIÓN, S.L., a Spanish franchisor company active in the restaurant sector. Its brands include “100 Montaditos,” “Cervecería La Sureña,” “TGB,” “Pepe Taco,” and “DPM.”</w:t>
      </w:r>
    </w:p>
    <w:p>
      <w:r>
        <w:t xml:space="preserve">3. MARKET  </w:t>
        <w:br/>
        <w:t xml:space="preserve">Product and geographical market  </w:t>
        <w:br/>
        <w:t>(9) Following national precedents, the product market, in a broad definition, would be that of providing informal dining services (casual dining) through the operation of owned or franchised restaurants, a market that has been analyzed on various occasions by both national competition authorities and the European Commission.</w:t>
      </w:r>
    </w:p>
    <w:p>
      <w:r>
        <w:t>(10) The broad market for informal dining services, unlike that of traditional dining (full service), is characterized by a lower degree of sophistication and lower prices, and would include fast food establishments, chains of informal quick-service restaurants, independent informal restaurants, pizzerias, cafés, sandwich shops, as well as restaurants for takeout/delivery. Community and national precedents have not closed off an exact definition of restaurant markets, having considered both a broad definition of the informal dining market (casual dining or informal eating-out) and the possibility that some types of informal dining constitute separate markets, such as quick service and takeout/home delivery food.</w:t>
      </w:r>
    </w:p>
    <w:p>
      <w:r>
        <w:t>(11) Quick-service restaurants would include fast-food restaurants, self-service restaurants, and takeout/home delivery food establishments, all characterized by the speed of service and relatively low prices regardless of the type of food offered (hamburgers, chicken, oriental food, pitas, pizzas, etc.) and whether or not they belong to a chain.</w:t>
      </w:r>
    </w:p>
    <w:p>
      <w:r>
        <w:t>(12) On the other hand, takeout/home delivery restaurants include the service of picking up food at the establishment and/or providing an added home delivery service within a short time frame. The main differences between takeout/home delivery restaurants and quick-service restaurants would be that the location of the takeout/home delivery restaurant is not important, since the order is delivered to the consumer's home (outside the establishment), and that their products are generally more expensive than fast food consumed on-site, but lower than traditional dining prices. However, as previously noted, the Commission has ruled out the differentiation of a separate market for restaurants with home delivery service.</w:t>
      </w:r>
    </w:p>
    <w:p>
      <w:r>
        <w:t>(13) The informal dining market has evolved in recent years towards less differentiation between possible segmentations, as quick-service restaurants often offer, in addition to on-site consumption, takeout/home delivery services; companies dedicated to home food delivery services such as Uber Eats, Deliveroo, or Glovo have emerged as intermediaries, and the main takeout/home delivery restaurants also offer on-site consumption.</w:t>
      </w:r>
    </w:p>
    <w:p>
      <w:r>
        <w:t>(14) Regarding the geographical scope of informal dining, the aforementioned national and community precedents have left the exact definition of this market open, although it could be considered national in scope, given that prices, culinary culture, and consumer preferences can vary considerably from one country to another, being generally uniform within each country. However, the European Commission has also considered various factors that would justify a local dimension from the demand perspective, as consumers are not willing to travel long distances to access informal dining establishments, and from the supply perspective, as operators may have different pricing policies and offers at the local level.</w:t>
      </w:r>
    </w:p>
    <w:p>
      <w:r>
        <w:t>(15) The exact delimitation of the local scope of the informal dining market must be carried out on a case-by-case basis, starting from those areas where the affected companies operate and taking into account the type of establishment and the characteristics of its environment. In principle, a larger territorial analysis seems appropriate in the case of locations with lower population density and in those where the existence of a commercial dependency with nearby populations seems proven. Such consideration also makes sense in residential areas, where the use of the vehicle is part of the daily life of its inhabitants, as car travel is common for most of their activities.</w:t>
      </w:r>
    </w:p>
    <w:p>
      <w:r>
        <w:t>(16) In the present case, TGB has [confidential] franchised restaurants distributed across different Autonomous Communities, all of which operate under the same system of homogeneous conditions.</w:t>
      </w:r>
    </w:p>
    <w:p>
      <w:r>
        <w:t xml:space="preserve">Regulatory framework  </w:t>
        <w:br/>
        <w:t xml:space="preserve">(17) Law 7/1996, of January 15, on the Regulation of Retail Trade dedicates its Chapter VI to commercial activity under the franchise regime and states in its sole article:  </w:t>
        <w:br/>
        <w:t xml:space="preserve">Article 62. Regulation of the franchise regime.  </w:t>
        <w:br/>
        <w:t xml:space="preserve">1. The commercial activity under the franchise regime is carried out by virtue of an agreement or contract by which a company, called the franchisor, grants to another, called the franchisee, the right to operate a proprietary system for marketing products or services.  </w:t>
        <w:br/>
        <w:t>2. At least 20 days prior to the signing of any franchise contract or pre-contract or the delivery by the future franchisee to the franchisor of any payment, the franchisor must have provided the future franchisee in writing with the necessary information to enable them to freely and knowledgeably decide to join the franchise network, and, in particular, the main identification data of the franchisor, a description of the business activity sector subject to the franchise, the content and characteristics of the franchise and its operation, the structure and extent of the network, and essential elements of the franchise agreement. The other basic conditions for the activity of granting franchises will be established by regulation.</w:t>
      </w:r>
    </w:p>
    <w:p>
      <w:r>
        <w:t>(18) This article has been developed by regulation through Royal Decree 201/2010, of February 26, which regulates the exercise of commercial activity under the franchise regime and the communication of data to the franchisors' registry.</w:t>
      </w:r>
    </w:p>
    <w:p>
      <w:r>
        <w:t xml:space="preserve">4. REPORTED FACTS  </w:t>
        <w:br/>
        <w:t>(19) According to the complaint, TGB would be engaging in a series of behaviors regarding its franchisees that are classified as "imposition of sales prices...</w:t>
      </w:r>
    </w:p>
    <w:p>
      <w:r>
        <w:rPr>
          <w:b/>
        </w:rPr>
        <w:t>[Pages 7–9]</w:t>
      </w:r>
    </w:p>
    <w:p>
      <w:r>
        <w:t xml:space="preserve">S/0024/20  </w:t>
        <w:br/>
        <w:t xml:space="preserve">THE GOOD BURGER  </w:t>
        <w:br/>
        <w:t>of services and products" and which would manifest itself in the following actions by TGB:</w:t>
      </w:r>
    </w:p>
    <w:p>
      <w:r>
        <w:t xml:space="preserve">Regarding prices:  </w:t>
        <w:br/>
        <w:t xml:space="preserve">a) Inability to change prices at the Point of Sale Terminals (TPV).  </w:t>
        <w:br/>
        <w:t xml:space="preserve">(20) According to the complainant, TGB requires the franchisee to install a TPV in which the franchisor sets the sale prices without the franchisee being able to access its operating system or change the prices.  </w:t>
        <w:br/>
        <w:t xml:space="preserve">(21) This assertion is supported by an expert computer report that is attached and which determines that prices can only be changed from the franchisor's headquarters. Additionally, the complainant provides, among other documents, copies of communications with the IT company that manages the TPVs and with TGB (burofaxes dated October 11, 2018), in which the complainant requests TGB to modify the prices on the TPVs and communicates its non-adherence to 2x1 campaigns.  </w:t>
        <w:br/>
        <w:t xml:space="preserve">b) Imposition of promotions and advertising material  </w:t>
        <w:br/>
        <w:t xml:space="preserve">(22) According to the complainant, promotions such as "2x1" on Thursdays have been developed since the inception of the franchising chain, which later also began to be held on Sundays. Or promotions like "Menu of the Day," consisting of offers of combinations of certain products from the TBG menu at reduced prices.  </w:t>
        <w:br/>
        <w:t xml:space="preserve">(23) The complainant indicates that these promotions (2x1, menu of the day, and others) are of an indefinite nature and mandatory, as franchisees cannot refuse to carry them out. He cites in his writing, in support of this argument, a clause 6.15 whose content he transcribes. However, when compared with the franchise contract provided, clause 6.15 has different content and does not correspond to what is indicated in the submitted contract; however, in its clause 6.14 it states: "To the extent possible, follow and comply with the promotional campaigns and the criteria and strategies of image, communication, marketing, and advertising established by the FRANCHISOR..."  </w:t>
        <w:br/>
        <w:t xml:space="preserve">(24) According to the complainant, the imposition of various weekly promotions only benefits TGB (which doubles royalties and consumption rebates) while causing losses for the franchisees.  </w:t>
        <w:br/>
        <w:t xml:space="preserve">(25) According to the complainant, the fact that the franchisee must use the printed menus sent by TGB, as well as the other advertising materials that include the aforementioned promotions, is another manifestation of price fixing. The complainant also considers that they constitute an interference in the management of the franchise.  </w:t>
        <w:br/>
        <w:t xml:space="preserve">c) Franchise contract model used by TGB  </w:t>
        <w:br/>
        <w:t xml:space="preserve">(26) The complainant cites both the Initial Declaration of the franchise contract in its section 3 and clause 6.12 of the aforementioned contract, which establishes among the obligations of the franchisee the following:  </w:t>
        <w:br/>
        <w:t xml:space="preserve">"6.12. shall maintain in all respects the menu of dishes or menus provided by the FRANCHISOR, without exceeding the maximum retail prices set by the FRANCHISOR during the entire duration of this contract and which are communicated by the FRANCHISOR on the franchisee's portal at any given time. The FRANCHISOR may modify the maximum prices in force at any time with no other requirement than prior communication on said portal. The FRANCHISEE must comply with the applicable administrative regulations regarding the registration and display of the official list of retail prices of the ESTABLISHMENT. This obligation not to exceed the maximum prices will also affect any promotional actions (temporary or not) to be carried out by the FRANCHISEE at the decision of the FRANCHISOR (such as 2x1 and similar)."  </w:t>
        <w:br/>
        <w:t xml:space="preserve">Regarding approved suppliers:  </w:t>
        <w:br/>
        <w:t xml:space="preserve">(27) The complainant expressly acknowledges the franchisor's authority to impose suppliers that the franchisee must use; however, he complains that the invoices generated by TGB monthly to its franchisees to reimburse them for the consumption rebates on beer and soft drinks in their establishments are unclear as franchisees do not know how those figures are calculated and must accept them without any documentary support for their calculation.  </w:t>
        <w:br/>
        <w:t>(28) He also points out that the franchise contract includes the obligation of the franchisee to procure the products imposed by the franchisor, as well as the quantity of products to be purchased.</w:t>
      </w:r>
    </w:p>
    <w:p>
      <w:r>
        <w:t xml:space="preserve">5. LEGAL BASIS  </w:t>
        <w:br/>
        <w:t xml:space="preserve">Jurisdiction to Resolve  </w:t>
        <w:br/>
        <w:t xml:space="preserve">(29) In accordance with Article 5.1.c) of Law 3/2013, of June 4, on the creation of the National Commission on Markets and Competition, this Body is responsible for "applying the provisions of Law 15/2007, of July 3, regarding conduct that involves preventing, restricting, and distorting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shall be aware of matters related to the application of Law 15/2007, of July 3."  </w:t>
        <w:br/>
        <w:t xml:space="preserve">(30) Consequently, the jurisdiction to resolve this proceeding corresponds to the Competition Chamber of the CNMC Council.  </w:t>
        <w:br/>
        <w:t xml:space="preserve">Proposal of the instructing body  </w:t>
        <w:br/>
        <w:t xml:space="preserve">(31) The DC proposes not to initiate the sanctioning procedure, as well as to archive the present actions, considering that there are no indications of the alleged infringement.  </w:t>
        <w:br/>
        <w:t xml:space="preserve">Assessment of the Competition Chamber  </w:t>
        <w:br/>
        <w:t xml:space="preserve">5.3.1. Applicable regulations  </w:t>
        <w:br/>
        <w:t xml:space="preserve">(32) The purpose of this file is to determine whether the franchisor TGB has engaged in conduct contrary to Article 1 of the LDC, which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w:t>
        <w:br/>
        <w:t>(33) The described practices, being alleged vertical restrictions within the framework of a franchise contract, must be analyzed in light of Article 1 of the LDC, in relation to Regulation 2022/720...</w:t>
      </w:r>
    </w:p>
    <w:p>
      <w:r>
        <w:rPr>
          <w:b/>
        </w:rPr>
        <w:t>[Pages 10–12]</w:t>
      </w:r>
    </w:p>
    <w:p>
      <w:r>
        <w:t xml:space="preserve">S/0024/20  </w:t>
        <w:br/>
        <w:t>THE GOOD BURGER</w:t>
      </w:r>
    </w:p>
    <w:p>
      <w:r>
        <w:t xml:space="preserve">replacing the previous Regulation 330/2010, in force until May 31, 2022, and whose Article 4.a) established:  </w:t>
        <w:br/>
        <w:t xml:space="preserve">National Commission on Markets and Competition 9 of 16  </w:t>
        <w:br/>
        <w:t xml:space="preserve">C/ Alcalá, 47 – 28014 Madrid - C/ Bolivia, 56 – 08018 Barcelona  </w:t>
        <w:br/>
        <w:t>www.cnmc.es</w:t>
      </w:r>
    </w:p>
    <w:p>
      <w:r>
        <w:t xml:space="preserve">(34) Thus, franchise agreements may benefit from the exemption provided in Article 2.1 of the Regulation, in cases where the market shares of the supplier and the buyer do not exceed 30%. However, franchise agreements that are not covered by the exemption provided in the Regulation require an individual assessment under Article 101 TFEU.  </w:t>
        <w:br/>
        <w:t xml:space="preserve">(35) In particular, regarding price fixing, Article 4 of the Regulation states:  </w:t>
        <w:br/>
        <w:t xml:space="preserve">“Restrictions that lead to the withdrawal of the benefit of the exemption by categories (particularly serious restrictions)  </w:t>
        <w:br/>
        <w:t xml:space="preserve">The exemption provided in Article 2 shall not apply to vertical agreements that, directly or indirectly, alone or in combination with other factors under the control of the parties, have as their object:  </w:t>
        <w:br/>
        <w:t xml:space="preserve">a) the restriction of the buyer's ability to determine the selling price, without prejudice to the supplier being able to impose maximum selling prices or recommend a selling price, provided that these do not amount to establishing a fixed or minimum selling price as a result of pressure or incentives from either party.”  </w:t>
        <w:br/>
        <w:t xml:space="preserve">(36) For its part, the obligation of exclusive supply is articulated as a non-compete clause, provided within the restrictions excluded in Article 5 of the Regulation. This article excludes certain obligations from the benefit of the exemption by categories, regardless of whether the market share thresholds established in the Regulation are exceeded or not. This exclusion means only that they are subject to an individual assessment under Article 101 TFEU.  </w:t>
        <w:br/>
        <w:t xml:space="preserve">(37) Finally, as the Court of Justice pointed out in case C-161/84 Pronuptia, the compatibility of franchise agreements with the current Article 101 TFEU cannot be assessed in the abstract, but will depend on the specific stipulations provided in those agreements.  </w:t>
        <w:br/>
        <w:t xml:space="preserve">“The exemption provided in Article 2 shall not apply to vertical agreements that, directly or indirectly, alone or in combination with other factors under the control of the parties, have as their object:  </w:t>
        <w:br/>
        <w:t xml:space="preserve">a) the restriction of the buyer's ability to determine the selling price, without prejudice to the supplier being able to impose maximum selling prices or recommend a selling price, provided that these do not amount to a fixed or minimum selling price as a result of pressure or incentives from either party.”  </w:t>
        <w:br/>
        <w:t xml:space="preserve">Regulation (EU) No 330/2010 of the Commission, of April 20, 2010.  </w:t>
        <w:br/>
        <w:t xml:space="preserve">C-161/84, Pronuptia de Paris GmbH v Pronuptia de Paris Imgard Schillgallis (EU:C:1986:41)  </w:t>
        <w:br/>
        <w:t xml:space="preserve">National Commission on Markets and Competition 10 of 16  </w:t>
        <w:br/>
        <w:t xml:space="preserve">C/ Alcalá, 47 – 28014 Madrid - C/ Bolivia, 56 – 08018 Barcelona  </w:t>
        <w:br/>
        <w:t>www.cnmc.es</w:t>
      </w:r>
    </w:p>
    <w:p>
      <w:r>
        <w:t xml:space="preserve">S/0024/20  </w:t>
        <w:br/>
        <w:t>THE GOOD BURGER</w:t>
      </w:r>
    </w:p>
    <w:p>
      <w:r>
        <w:t xml:space="preserve">5.3.2. On the alleged price fixing  </w:t>
        <w:br/>
        <w:t xml:space="preserve">(38) The complainant claims the existence of price fixing by TGB and presents a series of documents in support, fundamentally arguing the impossibility of modifying the POS and the letters and corporate advertising provided by TGB, as well as the imposition of certain mandatory promotions for all franchisees.  </w:t>
        <w:br/>
        <w:t xml:space="preserve">(39) The first two issues raised by the complainant have not been substantiated following the investigation conducted. Regarding the POS, it has been established that it is indeed possible to modify it downwards, as well as the advertising elements and menus; although it is necessary to do so in accordance with the procedure established by TGB.  </w:t>
        <w:br/>
        <w:t xml:space="preserve">(40) Regarding the possibility of modifying prices in the POS, TGB has explained in detail how prices can be changed (downwards) in the POS, referring to the price and tariff change management protocol and the free discount buttons.  </w:t>
        <w:br/>
        <w:t xml:space="preserve">(41) Furthermore, it provides numerous examples of cases in which certain franchisees have requested changes in tariffs and the approving outcome of their requests.  </w:t>
        <w:br/>
        <w:t xml:space="preserve">(42) However, from the documentation in the file, it is observed that the complainant intended to raise them, something that TGB considers incompatible with its business model and, therefore, is not permitted for franchisees.  </w:t>
        <w:br/>
        <w:t xml:space="preserve">(43) In this regard, the complainant responded referring to their refusals to carry out the mandatory promotions and providing a series of communications maintained with TGB through an exchange of burofaxes.  </w:t>
        <w:br/>
        <w:t xml:space="preserve">(44) In them, it is observed how the complainant attempted to modify the prices upwards in the POS, which TGB considered a breach of the franchise agreement. In particular, in the burofax dated October 19, 2018, sent by TGB to the complainant, it reads:  </w:t>
        <w:br/>
        <w:t xml:space="preserve">“We remind you that the Franchise Agreement is based on a system of maximum prices determined by the franchisor. The franchisee is prohibited from manipulating the POS to increase prices above that maximum price, which in this case has been done by its clients with other selling prices higher than those set by the franchise. As you know, and in accordance with current legislation, the franchisee has full freedom to set prices below the maximum determined by the franchisor. In these cases, when requested by a franchisee, the IT supplier adapts the price in the system and the franchisor also adapts it for menus and signage. All of this is always provided that the basic rules of not exceeding the maximum price set by the Franchise are complied with.”  </w:t>
        <w:br/>
        <w:t xml:space="preserve">(45) TGB was requested about the enabling of options that allow price modification in the POS. TGB indicated that such modification is allowed at the request of the franchisee and following the procedure set by the franchisor. For these purposes, TGB provided a list of those franchisees who have requested and been approved for the enabling of the POS functions that allow setting prices below the maximum between the years 2017 and 2021.  </w:t>
        <w:br/>
        <w:t xml:space="preserve">(46) Regarding the possibility of modifying the menus and corporate advertising, TGB has informed about the existing protocol and the communication of this to the franchisees; indicating the steps to follow for changing the tariffs and menus, provided that they are prices below the maximums set by TGB.  </w:t>
        <w:br/>
        <w:t xml:space="preserve">(47) On the other hand, it is worth noting that – as TGB indicates – the model formally included in TGB's franchise agreements is a maximum price model, which includes the implementation of certain promotions that the company considers “essential and permanent.” Therefore, it indicates, we are not facing a case of price fixing within the framework of a short-term campaign in the sense referred to in the Guidelines; but rather it is a maximum price model, which can be reduced by the franchisees if they deem it appropriate. This has been documented through the Precontractual Information and the model Franchise Agreement provided by the defendant.  </w:t>
        <w:br/>
        <w:t xml:space="preserve">(48) When asked about its pricing policy, TGB stated:  </w:t>
        <w:br/>
        <w:t xml:space="preserve">“The Initial Declaration of the franchise model states that it is fundamental, and intrinsic to the very definition of TGB as a restaurant chain, from...  </w:t>
        <w:br/>
        <w:t xml:space="preserve">National Commission on Markets and Competition 12 of 16  </w:t>
        <w:br/>
        <w:t xml:space="preserve">C/ Alcalá, 47 – 28014 Madrid - C/ Bolivia, 56 – 08018 Barcelona  </w:t>
        <w:br/>
        <w:t>www.cnmc.es</w:t>
      </w:r>
    </w:p>
    <w:p>
      <w:r>
        <w:rPr>
          <w:b/>
        </w:rPr>
        <w:t>[Pages 13–15]</w:t>
      </w:r>
    </w:p>
    <w:p>
      <w:r>
        <w:t xml:space="preserve">S/0024/20  </w:t>
        <w:br/>
        <w:t>THE GOOD BURGER</w:t>
      </w:r>
    </w:p>
    <w:p>
      <w:r>
        <w:t xml:space="preserve">all commercial and functional aspects, the standardization and compliance by its franchisees with the following obligations: (i) not exceeding the maximum retail prices of the products offered in the establishments that the Restalia Group establishes as maximum prices for the chain; and (ii) the application, as far as possible, of the promotions designed by the Restalia Group since they constitute a fundamental and clearly differentiating element against the competition and part of the corporate image of the chain […]  </w:t>
        <w:br/>
        <w:t xml:space="preserve">The Restalia Group's pricing policy is based on the establishment of maximum retail prices for franchisees, who have the authority to apply prices lower than these maximum retail prices. (clause 6.12 of the contract)”  </w:t>
        <w:br/>
        <w:t xml:space="preserve">(49) Regarding the imposition of certain promotions by TGB, those promotions referred to as “essential and permanent” constitute, according to the aforementioned, “a fundamental and characteristic element of the corporate image of the brand and of the TGB franchise chain, in addition to being a clearly differentiating element against the competition”30. That is, they do not form part of a temporary campaign or promotion, but represent a temporary maximum price (applicable on certain days of the week) lower than the usual maximum price and constitute an inherent element of this franchise model based on maximum prices. This is also confirmed in both the initial declaration 3 and in clause 6.12 of the franchise contract, where the obligations of the franchisee are established31.  </w:t>
        <w:br/>
        <w:t xml:space="preserve">(50) Therefore, the application of a maximum pricing model and certain inherent promotions by TGB, as a distinguishing feature of its business, is not only included in the franchise contract but is also disclosed to the future franchisee in the pre-contractual information, so TGB is transparent regarding its business model and it is the franchisee who, before signing the contract, must assess whether it is possible to obtain the desired profits under this business model.  </w:t>
        <w:br/>
        <w:t xml:space="preserve">(51) From the perspective of Competition Law, the imposition of maximum prices is expressly permitted in Article 4 a) of the Regulation, making its use lawful. In this regard, the previous Guidelines (2010), in effect at the time of the reported facts, indicate: “The practice of recommending a resale price to a reseller or requiring them to adhere to a maximum resale price is covered by the Block Exemption Regulation when the market share of each of the parties to the agreement does not exceed the 30% threshold, provided that it does not imply a minimum or fixed selling price as a result of pressure or incentives offered by either party […]..” The current Guidelines (2022)32 express the same sentiment.  </w:t>
        <w:br/>
        <w:t xml:space="preserve">(52) Therefore, by applying a maximum pricing model and with no indications that any of the parties to the agreement exceed the 30% market share threshold33, the reported practices would be covered by the Regulation.  </w:t>
        <w:br/>
        <w:t xml:space="preserve">5.3.3. On Approved Suppliers  </w:t>
        <w:br/>
        <w:t xml:space="preserve">(53) Regarding the allegation that the franchise contract includes the obligation of the franchisee to source products imposed by the franchisor, as well as the quantity of products to be purchased, it is worth noting that, typically, the obligation for the franchisee to procure through the franchisor is included in the franchise contract itself.  </w:t>
        <w:br/>
        <w:t xml:space="preserve">(54) Although generally considered an accessory element to the contract, the obligation for the franchisee to acquire products from the franchisor or from a third party approved by them based on quality or suitability criteria to maintain the uniformity of the franchise is usually included. Such procurement is carried out by logistics services that tend to concentrate on a few well-established companies in the relevant sector.  </w:t>
        <w:br/>
        <w:t xml:space="preserve">(55) According to the precedent S/DC/0510/14 FOOD SERVICE PROJECT34, this obligation of supply for franchisees, when there are different suppliers in the market, cannot be absolute. Thus, for example, in the case of restaurant franchises, certain ingredients for the preparation of different dishes are considered core products, that is, essential for the identity of the franchise, while tools and products necessary for the cleaning and maintenance of the premises are considered non-core products. Franchisees would only be obliged to acquire core products through the franchisor (or the approved third party designated by them), while they would have the freedom to acquire non-core products.  </w:t>
        <w:br/>
        <w:t xml:space="preserve">32 Paragraph 198.  </w:t>
        <w:br/>
        <w:t xml:space="preserve">33 One of the parties to the agreement, the complainant, is a franchisee operating a TGB franchise in Albacete. The other is the franchisor TGB, which is engaged in the sale of hamburgers and, according to the data provided, has [confidential] franchised restaurants distributed throughout Spain.  </w:t>
        <w:br/>
        <w:t xml:space="preserve">34 https://www.cnmc.es/expedientes/sdc051014  </w:t>
        <w:br/>
        <w:t xml:space="preserve">(56) In this case, both in the pre-contractual information and in the contractual information, TGB distinguishes between the different categories of approved and free products35. In particular, TGB distinguishes36:  </w:t>
        <w:br/>
        <w:t xml:space="preserve">• Mandatory approved products or services: those that, due to their characteristics, cannot be replaced by others in the market, as they would affect the product or the final customer experience.  </w:t>
        <w:br/>
        <w:t xml:space="preserve">• Recommended approved products or services: the franchisor recommends their acquisition from certain suppliers, but the franchisee can promote other alternatives to be approved by the franchisor.  </w:t>
        <w:br/>
        <w:t xml:space="preserve">• Free products or services: the franchisee can acquire them from any supplier, complying with the established technical, quality, or safety requirements.  </w:t>
        <w:br/>
        <w:t xml:space="preserve">(57) Therefore, the procurement system of TGB complies with the conditions established in the aforementioned precedent.  </w:t>
        <w:br/>
        <w:t xml:space="preserve">(58) In any case, it is worth noting that the complainant does not even question this procurement obligation (as they state: “It is the franchisor's prerogative to impose the suppliers from which the franchisee must procure. This can never be questioned”37), but only questions certain aspects related to the billing, “not clear” on the part of TGB, of their rebates for beer and soft drink consumption.  </w:t>
        <w:br/>
        <w:t xml:space="preserve">(59) In this regard, this Chamber considers that the alleged opacity in the billing of the rebates does not constitute, in this case, a conduct of sufficient substance to be considered an infringement of competition law by itself, nor does it serve as a tool for sanction or coercion that TGB could use to subject its franchisees to its illegal price-fixing discipline, since no indications of this have been found, as examined in the previous paragraphs.  </w:t>
        <w:br/>
        <w:t xml:space="preserve">6. AGREEMENT NOT TO INITIATE AND FILING OF THE  </w:t>
        <w:br/>
        <w:t xml:space="preserve">PROCEEDINGS  </w:t>
        <w:br/>
        <w:t xml:space="preserve">Sole. The non-initiation of a sanctioning procedure, as well as the filing of the proceedings followed in file S/0024/20 THE GOOD BURGER, due to the lack of evidence of infringement.  </w:t>
        <w:br/>
        <w:t xml:space="preserve">35 Pages 279 – 280 citing Annexes 5 (pre-contractual information), 4 (contract), 7 (mandatory approved products), and 8 (free products).  </w:t>
        <w:br/>
        <w:t xml:space="preserve">36 Page 279.  </w:t>
        <w:br/>
        <w:t>37 Page 17</w:t>
      </w:r>
    </w:p>
    <w:p>
      <w:r>
        <w:rPr>
          <w:b/>
        </w:rPr>
        <w:t>[Pages 16–16]</w:t>
      </w:r>
    </w:p>
    <w:p>
      <w:r>
        <w:t xml:space="preserve">S/0024/20  </w:t>
        <w:br/>
        <w:t xml:space="preserve">THE GOOD BURGER  </w:t>
        <w:br/>
        <w:t xml:space="preserve">This resolution shall be communicated to the Directorate of Competition and notified to the complainant, informing them that there is no administrative appeal against it, and that they may file a contentious-administrative appeal before the National Court within two months from the day following its notification.  </w:t>
        <w:br/>
        <w:t xml:space="preserve">National Commission on Markets and Competition 16 of 16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