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https://www.cnmc.es/expedientes/s002519</w:t>
      </w:r>
    </w:p>
    <w:p>
      <w:r>
        <w:t>Pages translated : 62</w:t>
      </w:r>
    </w:p>
    <w:p/>
    <w:p>
      <w:r>
        <w:rPr>
          <w:b/>
        </w:rPr>
        <w:t>[Pages 1–3]</w:t>
      </w:r>
    </w:p>
    <w:p>
      <w:r>
        <w:t xml:space="preserve">RESOLUTION  </w:t>
        <w:br/>
        <w:t xml:space="preserve">FILE S/0025/19, FILE MANAGEMENT  </w:t>
        <w:br/>
        <w:t xml:space="preserve">COUNCIL. 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 xml:space="preserve">In Madrid, on September 14, 2021  </w:t>
        <w:br/>
        <w:t xml:space="preserve">The Competition Chamber of the Council of the National Commission of Markets and Competition (CNMC), with the composition expressed, has issued the following Resolution in the File initiated against BIBLIODOC SERVICIOS DOCUMENTALES, S.L., PANDORA GESTIÓN DOCUMENTAL, S.L., LIBNOVA, S.L. and SALOMÉ LENDÍNEZ RAMÍREZ, in her capacity as self-employed, operating under the trade name ALACAJA, for alleged practices contrary to Article 1 of Law 15/2007, of July 3, on the Defense of Competition (LDC).  </w:t>
        <w:br/>
        <w:t xml:space="preserve">S/0025/19 MANAGEMENT National Commission of Markets and Competition Page 1 of 62  </w:t>
        <w:br/>
        <w:t xml:space="preserve">OF FILES C/ Barquillo, 5 – 28004 Madrid - C/ Bolivia, 56 – 08018 Barcelona  </w:t>
        <w:br/>
        <w:t>www.cnmc.es</w:t>
      </w:r>
    </w:p>
    <w:p>
      <w:r>
        <w:t xml:space="preserve">INDEX OF CONTENTS  </w:t>
        <w:br/>
        <w:t xml:space="preserve">I. Background ........................................................................................................ 4  </w:t>
        <w:br/>
        <w:t xml:space="preserve">II. The Parties ......................................................................................................... 6  </w:t>
        <w:br/>
        <w:t xml:space="preserve">1. BIBLIODOC SERVICIOS DOCUMENTALES, S.L. .......................................... 7  </w:t>
        <w:br/>
        <w:t xml:space="preserve">2. LIBNOVA, S.L. ................................................................................................ 7  </w:t>
        <w:br/>
        <w:t xml:space="preserve">3. PANDORA GESTIÓN DOCUMENTAL, S.L. ................................................... 7  </w:t>
        <w:br/>
        <w:t xml:space="preserve">4. SALOMÉ LENDÍNEZ RAMÍREZ ...................................................................... 8  </w:t>
        <w:br/>
        <w:t xml:space="preserve">III. Regulatory Framework .................................................................................... 8  </w:t>
        <w:br/>
        <w:t xml:space="preserve">IV. Affected Market ............................................................................................... 11  </w:t>
        <w:br/>
        <w:t xml:space="preserve">1. Product Market .............................................................................................. 11  </w:t>
        <w:br/>
        <w:t xml:space="preserve">2. Geographical Market .................................................................................... 13  </w:t>
        <w:br/>
        <w:t xml:space="preserve">V. Established Facts ............................................................................................. 14  </w:t>
        <w:br/>
        <w:t xml:space="preserve">1. Relationships between BIBLIODOC and LIBNOVA .................................... 15  </w:t>
        <w:br/>
        <w:t xml:space="preserve">A. Year 2016 ........................................................................................................ 15  </w:t>
        <w:br/>
        <w:t xml:space="preserve">B. Year 2017 ........................................................................................................ 17  </w:t>
        <w:br/>
        <w:t xml:space="preserve">C. Year 2018 ........................................................................................................ 17  </w:t>
        <w:br/>
        <w:t xml:space="preserve">D. Year 2019 ........................................................................................................ 18  </w:t>
        <w:br/>
        <w:t xml:space="preserve">2. Relationships between BIBLIODOC and PANDORA .................................. 19  </w:t>
        <w:br/>
        <w:t xml:space="preserve">3. Relationships between ALACAJA and PANDORA ....................................... 21  </w:t>
        <w:br/>
        <w:t xml:space="preserve">VI. Legal Grounds .................................................................................................. 22  </w:t>
        <w:br/>
        <w:t xml:space="preserve">FIRST. Competence to resolve .......................................................................... 22  </w:t>
        <w:br/>
        <w:t xml:space="preserve">SECOND. Object of the resolution and applicable regulations .......................... 22  </w:t>
        <w:br/>
        <w:t xml:space="preserve">THIRD. Proposal for resolution from the instructing body .................................. 23  </w:t>
        <w:br/>
        <w:t xml:space="preserve">FOURTH. Assessment of the competition chamber ............................................. 23  </w:t>
        <w:br/>
        <w:t xml:space="preserve">A. Classification of behaviors ............................................................................. 23  </w:t>
        <w:br/>
        <w:t xml:space="preserve">a. Existence of agreements between companies ........................................ 25  </w:t>
        <w:br/>
        <w:t xml:space="preserve">b. The restrictive object of competition ...................................................... 28  </w:t>
        <w:br/>
        <w:t xml:space="preserve">c. Qualification of the infringements as single or single and continuous ... 31  </w:t>
        <w:br/>
        <w:t xml:space="preserve">d. Existence of a cartel .................................................................................. 35  </w:t>
        <w:br/>
        <w:t xml:space="preserve">e. Conclusion ............................................................................................... 36  </w:t>
        <w:br/>
        <w:t xml:space="preserve">B. Illegality and legitimate trust ........................................................................... 37  </w:t>
        <w:br/>
        <w:t xml:space="preserve">C. Guilt and individualization ............................................................................... 41  </w:t>
        <w:br/>
        <w:t xml:space="preserve">a. BIBLIODOC SERVICIOS DOCUMENTALES, S.L. ................................. 42  </w:t>
        <w:br/>
        <w:t xml:space="preserve">b. LIBNOVA, S.L. ......................................................................................... 42  </w:t>
        <w:br/>
        <w:t xml:space="preserve">c. PANDORA GESTIÓN DOCUMENTAL, S.L. .......................................... 42  </w:t>
        <w:br/>
        <w:t xml:space="preserve">d. Ms. Salomé Lendínez Ramírez ................................................................. 43  </w:t>
        <w:br/>
        <w:t xml:space="preserve">D. The effects derived from the behaviors .......................................................... 43  </w:t>
        <w:br/>
        <w:t xml:space="preserve">E. The impossibility of applying the de minimis rule .......................................... 46  </w:t>
        <w:br/>
        <w:t xml:space="preserve">F. Assessment of compliance programs ............................................................... 47  </w:t>
        <w:br/>
        <w:t xml:space="preserve">FIFTH. Determination of the Sanction ................................................................ 52  </w:t>
        <w:br/>
        <w:t xml:space="preserve">SIXTH. THE PROHIBITION OF CONTRACTING ............................................... 60  </w:t>
        <w:br/>
        <w:t xml:space="preserve">VII. RESOLVES ...................................................................................................... 61  </w:t>
        <w:br/>
        <w:t xml:space="preserve">S/0025/19 MANAGEMENT National Commission of Markets and Competition Page 2 of 62  </w:t>
        <w:br/>
        <w:t xml:space="preserve">OF FILES C/ Barquillo, 5 – 28004 Madrid - C/ Bolivia, 56 – 08018 Barcelona  </w:t>
        <w:br/>
        <w:t>www.cnmc.es</w:t>
      </w:r>
    </w:p>
    <w:p>
      <w:r>
        <w:t xml:space="preserve">INDEX OF TABLES  </w:t>
        <w:br/>
        <w:t xml:space="preserve">Table 1. Information requests to companies ............................................................ 5  </w:t>
        <w:br/>
        <w:t xml:space="preserve">Table 2. Information requests to administrations .................................................. 5  </w:t>
        <w:br/>
        <w:t xml:space="preserve">Table 3. Allegations to the proposal for resolution ................................................ 6  </w:t>
        <w:br/>
        <w:t xml:space="preserve">Table 4. List of tenders affected by each of the infringements ............................ 26  </w:t>
        <w:br/>
        <w:t xml:space="preserve">Table 5. Total turnover of the companies in 2020 ............................................... 52  </w:t>
        <w:br/>
        <w:t xml:space="preserve">Table 6. Duration and turnover in the market affected by the infringement ......... 53  </w:t>
        <w:br/>
        <w:t xml:space="preserve">Table 7. Sanctioning type by company .................................................................. 53  </w:t>
        <w:br/>
        <w:t xml:space="preserve">Table 9. Duration and turnover in the market affected by the infringement ......... 55  </w:t>
        <w:br/>
        <w:t xml:space="preserve">Table 10. Sanctioning type by company ................................................................ 55  </w:t>
        <w:br/>
        <w:t xml:space="preserve">Table 11. Total turnover of the companies in 2020 .............................................. 56  </w:t>
        <w:br/>
        <w:t xml:space="preserve">Table 12. Duration and turnover in the market affected by the infringement ......... 56  </w:t>
        <w:br/>
        <w:t xml:space="preserve">Table 13. Sanctioning type by company ................................................................ 57  </w:t>
        <w:br/>
        <w:t xml:space="preserve">S/0025/19 MANAGEMENT National Commission of Markets and Competition Page 3 of 62  </w:t>
        <w:br/>
        <w:t xml:space="preserve">OF FILES C/ Barquillo, 5 – 28004 Madrid - C/ Bolivia, 56 – 08018 Barcelona  </w:t>
        <w:br/>
        <w:t>www.cnmc.es</w:t>
      </w:r>
    </w:p>
    <w:p>
      <w:r>
        <w:rPr>
          <w:b/>
        </w:rPr>
        <w:t>[Pages 4–6]</w:t>
      </w:r>
    </w:p>
    <w:p>
      <w:r>
        <w:t xml:space="preserve">I. FACTUAL BACKGROUND  </w:t>
        <w:br/>
        <w:t xml:space="preserve">1. On December 28, 2018, the Contracting Board of the Ministry of Defense informed the CNMC of the existence of similarities in the only two offers submitted in the context of a tender for a contract for archival treatment services of documentary series and collections held in archives of the Defense archival system. On January 15, 2019, the Ministry of Defense communicated to the CNMC a series of indications regarding the existence of a possible anti-competitive agreement in the tender for that contract (folios 2 to 438).  </w:t>
        <w:br/>
        <w:t xml:space="preserve">2. On May 14, 2019, the Directorate of Competition (DC) informed the Ministry of Defense of the initiation of an investigation within the framework of preliminary proceedings, in order to determine, on a preliminary basis, the existence of circumstances justifying the initiation of a sanctioning file (folios 439 to 441). To this end, the DC initiated a reserved inquiry, in accordance with the provisions of Article 49, paragraph 2, of the LDC. It was also agreed to incorporate, on May 21, 2019, the information received within the framework of the preliminary proceedings (folio 1), in accordance with the provisions of Article 30 of the Competition Defense Regulation, approved by Royal Decree 261/2008, of February 22, 2008 (RDC).  </w:t>
        <w:br/>
        <w:t xml:space="preserve">3. On June 25 and 26, 2019, the DC carried out simultaneous inspections at the offices of the companies BIBLIODOC SERVICIOS DOCUMENTALES, S.L. and PANDORA GESTIÓN DOCUMENTAL, S.L. (folios 443 to 482 and 483 to 516).  </w:t>
        <w:br/>
        <w:t xml:space="preserve">4. On October 14, 2019, the DC, in accordance with Article 49.1 of the LDC, agreed to initiate the present sanctioning file against the companies BIBLIODOC SERVICIOS DOCUMENTALES, S.L., PANDORA GESTIÓN DOCUMENTAL, S.L., LIBNOVA, S.L. and against SALOMÉ LENDÍNEZ RAMÍREZ, for prohibited conduct under Article 1 of the LDC, consisting of the concerted manipulation of public tenders in the market for library services and management of archives and documents (folios 517 and 518).  </w:t>
        <w:br/>
        <w:t xml:space="preserve">5. On June 3, 2020, BIBLIODOC SERVICIOS DOCUMENTALES, S.L. filed an administrative appeal before the Competition Chamber of the CNMC Council against the DC's decision of March 4, 2020, which partially denied the confidentiality requested by that company regarding the documentation collected during the inspection at its premises (file R/AJ/046/20) (folio 1,586).  </w:t>
        <w:br/>
        <w:t xml:space="preserve">On July 23, 2020, the Competition Chamber of the CNMC Council resolved the appeal R/AJ/046/20, dismissing it. On November 6, 2020, the company was notified of the lifting of the confidentiality of the documentation that was the subject of the appeal.  </w:t>
        <w:br/>
        <w:t xml:space="preserve">6. On June 3, 2020, PANDORA GESTIÓN DOCUMENTAL, S.L. filed an appeal before the Competition Chamber of the CNMC Council against the DC's decision of March 4, 2020, which partially denied the confidentiality requested by that company regarding the documentation collected during the inspection at its premises (file R/AJ/047/20) (folio 1,596). On September 1, 2020, the Competition Chamber of the CNMC Council resolved the appeal R/AJ/046/20, dismissing it. On November 6, 2020, the company was notified of the lifting of the confidentiality of the documentation that was the subject of the appeal.  </w:t>
        <w:br/>
        <w:t xml:space="preserve">7. On January 29, 2021, the DC adopted the statement of facts (PCH), in accordance with Article 33 of the RDC, which was duly notified to the parties (folios 3,204 to 3,245).  </w:t>
        <w:br/>
        <w:t xml:space="preserve">8. During the instruction of the procedure, the DC has made information requests to the following companies:  </w:t>
        <w:br/>
        <w:t xml:space="preserve">Table 1. Information requests to companies  </w:t>
        <w:br/>
        <w:t xml:space="preserve">Date Company Folios  </w:t>
        <w:br/>
        <w:t xml:space="preserve">03/08/2020 BIBLIODOC SERVICIOS DOCUMENTALES, S.L. 2,293 to 2,298  </w:t>
        <w:br/>
        <w:t xml:space="preserve">03/08/2020 PANDORA GESTIÓN DOCUMENTAL, S.L. 2,301 to 2,306  </w:t>
        <w:br/>
        <w:t xml:space="preserve">03/08/2020 LIBNOVA, S.L. 2,309 to 2,314  </w:t>
        <w:br/>
        <w:t xml:space="preserve">03/08/2020 SALOMÉ LENDÍNEZ RAMÍREZ 2,317 to 2,321  </w:t>
        <w:br/>
        <w:t xml:space="preserve">Additionally, the DC has made information requests to a large number of entities belonging to the public sector:  </w:t>
        <w:br/>
        <w:t xml:space="preserve">Table 2. Information requests to administrations  </w:t>
        <w:br/>
        <w:t xml:space="preserve">Date Administration Folios  </w:t>
        <w:br/>
        <w:t xml:space="preserve">18/06/2020 ARCHIVO GENERAL VILLA DE MADRID 2,086  </w:t>
        <w:br/>
        <w:t xml:space="preserve">18/06/2020 BIBLIOTECA NACIONAL DE ESPAÑA 2,091  </w:t>
        <w:br/>
        <w:t xml:space="preserve">30/07/2020 2,251  </w:t>
        <w:br/>
        <w:t xml:space="preserve">18/06/2020 ARCHIVO MUNICIPAL DE SEVILLA 2,096  </w:t>
        <w:br/>
        <w:t xml:space="preserve">30/07/2020 2,259  </w:t>
        <w:br/>
        <w:t xml:space="preserve">18/06/2020 SUBSECRETARIA DE DEFENSA SUBDIRECCION GENERAL DE SERVICIOS ECONOMICOS Y PAGADURIAS 2,101 and 2,102  </w:t>
        <w:br/>
        <w:t xml:space="preserve">18/06/2020 2,107  </w:t>
        <w:br/>
        <w:t xml:space="preserve">30/07/2020 CENTRO DE HISTORIA Y CULTURA MILITAR DE BALEARES 2,283  </w:t>
        <w:br/>
        <w:t xml:space="preserve">18/06/2020 INSPECCION GENERAL DE SANIDAD DE LA DEFENSA 2,112  </w:t>
        <w:br/>
        <w:t xml:space="preserve">18/06/2020 MINISTERIO DE LA PRESIDENCIA Y RELACIONES CON LAS CORTES Y MEMORIA DEMOCRATICA CENTRO DE ESTUDIOS POLITICOS Y CONSTITUCIONALES 2,117  </w:t>
        <w:br/>
        <w:t xml:space="preserve">18/06/2020 MINISTERIO DE INCLUSION SEGURIDAD SOCIAL Y MIGRACIONES 2,122  </w:t>
        <w:br/>
        <w:t xml:space="preserve">30/07/2020 2,267  </w:t>
        <w:br/>
        <w:t xml:space="preserve">18/06/2020 BIBLIOTECA REGIONAL DE MADRID 2,127  </w:t>
        <w:br/>
        <w:t xml:space="preserve">30/07/2020 2,275  </w:t>
        <w:br/>
        <w:t xml:space="preserve">19/06/2020 CONSEJERIA DE TRANSPARENCIA CULTURA Y DEPORTES COMUNIDAD AUTONOMA DE BALEARES 2,132  </w:t>
        <w:br/>
        <w:t xml:space="preserve">19/06/2020 AGENCIA ANTIDROGA DE LA COMUNIDAD DE MADRID 2,137  </w:t>
        <w:br/>
        <w:t xml:space="preserve">19/06/2020 CENTRO NACIONAL DE ARTE REINA SOFIA 2,142  </w:t>
        <w:br/>
        <w:t xml:space="preserve">29/07/2020 MINISTERIO DE TRANSPORTES, MOVILIDAD Y AGENDA URBANA 2,236  </w:t>
        <w:br/>
        <w:t xml:space="preserve">29/07/2020 INSTITUTO NACIONAL DE INVESTIGACIÓN Y TECNOLOGÍA AGRARIA Y ALIMENTARIA 2,241  </w:t>
        <w:br/>
        <w:t xml:space="preserve">29/07/2020 INSTITUTO DE HISTORIA Y CULTURA MILITAR 2,246  </w:t>
        <w:br/>
        <w:t xml:space="preserve">9. On April 15, 2021, the DC agreed to close the instruction phase of the procedure (folio 3,915) and, on May 12, 2021, adopted the resolution proposal that was submitted to the Council along with the allegations of the companies (folios 5,107 to 5,205).  </w:t>
        <w:br/>
        <w:t xml:space="preserve">10. Between May 11 and May 17, 2021, the parties involved submitted allegations to the resolution proposal of the DC:  </w:t>
        <w:br/>
        <w:t xml:space="preserve">Table 3. Allegations to the resolution proposal  </w:t>
        <w:br/>
        <w:t xml:space="preserve">Date Company Folios  </w:t>
        <w:br/>
        <w:t xml:space="preserve">11/05/2021 BIBLIODOC SERVICIOS DOCUMENTALES, S.L. 5,866 to 4,893  </w:t>
        <w:br/>
        <w:t xml:space="preserve">13/05/2021 PANDORA GESTIÓN DOCUMENTAL, S.L. 5,209 to 5,229  </w:t>
        <w:br/>
        <w:t xml:space="preserve">14/05/2021 LIBNOVA, S.L. 5,340 to 5,344  </w:t>
        <w:br/>
        <w:t xml:space="preserve">17/05/2021 5,411 to 5,437  </w:t>
        <w:br/>
        <w:t xml:space="preserve">11. The Competition Chamber of the CNMC Council adopted this resolution in its meeting of September 14, 2021.  </w:t>
        <w:br/>
        <w:t xml:space="preserve">II. THE PARTIES  </w:t>
        <w:br/>
        <w:t>The interested parties in the procedure are those listed below.</w:t>
      </w:r>
    </w:p>
    <w:p>
      <w:r>
        <w:rPr>
          <w:b/>
        </w:rPr>
        <w:t>[Pages 7–9]</w:t>
      </w:r>
    </w:p>
    <w:p>
      <w:r>
        <w:t xml:space="preserve">1. BIBLIODOC SERVICIOS DOCUMENTALES, S.L.  </w:t>
        <w:br/>
        <w:t>BIBLIODOC SERVICIOS DOCUMENTALES, S.L. (BIBLIODOC) is a company based in Madrid that provides assistance services to libraries, documentation centers, and archives, which materialize, among others, in treatment and description in archives, classification in libraries and museums, or external search, recording, digitization, modification, and analysis of information and documentation and its dissemination through digital resources and administrative auxiliary services. These activities are carried out for both Public Administrations and the private sector.</w:t>
      </w:r>
    </w:p>
    <w:p>
      <w:r>
        <w:t xml:space="preserve">2. LIBNOVA, S.L.  </w:t>
        <w:br/>
        <w:t>LIBNOVA, S.L. (LIBNOVA) is a company based in Madrid that offers solutions in the field of digitization, preservation, and digital archiving of documents. Specifically, its activities consist of the creation, exploitation, and commercialization of all kinds of goods, products, and services of computer hardware and software; the provision of promotional services through telematic networks; and marketing, advisory, or consultancy services in the computer and technological field. Additionally, the company carries out Internet activities, provides information and training services; and services for the organization and exploitation of archives, libraries, and museums, cataloging, ordering, preservation, cleaning, purging, document destruction, physical and digital conservation, or digitization services, as well as image processing services, custody, and recovery of magnetic or optical media.</w:t>
      </w:r>
    </w:p>
    <w:p>
      <w:r>
        <w:t xml:space="preserve">3. PANDORA GESTIÓN DOCUMENTAL, S.L.  </w:t>
        <w:br/>
        <w:t>PANDORA GESTIÓN DOCUMENTAL, S.L. (PANDORA), with its registered office in Ávila, has as its main activity the provision of document management services, archive and library services, and document digitization. In particular, it provides consulting and document management services to individuals, private companies, Public Administrations, foundations, associations, or any other type of organization. On the other hand, as secondary activities, the company provides outsourced administrative services, such as administrative support services or inventory preparation services.</w:t>
      </w:r>
    </w:p>
    <w:p>
      <w:r>
        <w:t xml:space="preserve">4. SALOMÉ LENDÍNEZ RAMÍREZ  </w:t>
        <w:br/>
        <w:t>SALOMÉ LENDÍNEZ RAMÍREZ is a self-employed entrepreneur operating under the trade name ALACAJA. She offers document digitization services, management and maintenance of archives and documentation, courses and training on an online platform specialized in archives and digital content management services. In particular, her services focus on public archives, performing tasks of ordering and documentary description, digitizing files and books, and collaborating in the dissemination of the oldest documents in some cases.</w:t>
      </w:r>
    </w:p>
    <w:p>
      <w:r>
        <w:t xml:space="preserve">III. NORMATIVE FRAMEWORK  </w:t>
        <w:br/>
        <w:t xml:space="preserve">The behaviors subject to this file fundamentally affect public tenders for archival service contracts awarded through minor contracts and, to a lesser extent, negotiated and open procedures. These tenders are subject to public procurement regulations. Considering the duration of the investigated practices and the start date of the procurement files, three periods can be distinguished for regulatory purposes:  </w:t>
        <w:br/>
        <w:t xml:space="preserve">- Public procurement files initiated between December 17, 2011, and March 8, 2018, will be subject to the provisions of the consolidated text of the Public Sector Contracts Law (TRLCSP) approved by Royal Legislative Decree 3/2011, of November 14.  </w:t>
        <w:br/>
        <w:t xml:space="preserve">- Public procurement files initiated from March 9, 2018, onwards, will be subject to the provisions of Law 9/2017, of November 8, on Public Sector Contracts (LCSP).  </w:t>
        <w:br/>
        <w:t>- Contracts following the instruction of the Independent Office for Regulation and Supervision of Procurement (OIRESCON) of March 2019, which is cited below.</w:t>
      </w:r>
    </w:p>
    <w:p>
      <w:r>
        <w:t xml:space="preserve">Regarding minor contracts, particularly relevant in this case, Article 138 of the TRLCSP established the following:  </w:t>
        <w:br/>
        <w:t xml:space="preserve">“Minor contracts may be awarded directly to any entrepreneur with the capacity to act and who has the necessary professional qualification to carry out the provision, complying with the rules established in Article 111.  </w:t>
        <w:br/>
        <w:t>Minor contracts are considered to be contracts with an amount less than 50,000 euros when they are contracts for works, or less than 18,000 euros when they are other contracts, without prejudice to the provisions of Article 206 in relation to centralized works, services, and supplies at the state level.”</w:t>
      </w:r>
    </w:p>
    <w:p>
      <w:r>
        <w:t xml:space="preserve">These contracts can be awarded directly by the contracting administration to any entrepreneur who has the capacity to act, in addition to the necessary professional qualification to carry out the provision, and they cannot have a duration exceeding one year nor be subject to extension.  </w:t>
        <w:br/>
        <w:t xml:space="preserve">The TRLCSP only required the approval of the expenditure and the incorporation of the corresponding invoice for the processing of the file (Article 111), just as the current LCSP does.  </w:t>
        <w:br/>
        <w:t xml:space="preserve">However, on March 6, 2019, the Independent Office for Regulation and Supervision of Procurement (OIRESCON) published Instruction 1/2019, of February 28, on minor contracts, regulated in Law 9/2017, of November 8. In it, in order to safeguard competition among bidding companies, it is indicated that the contracting authority must request at least three budgets, being sufficiently accredited in the file. At the same time, it establishes that if the companies to which a budget has been requested decline the offer or do not respond, it will not be necessary to request a budget from other companies.  </w:t>
        <w:br/>
        <w:t xml:space="preserve">The investigated practices have also affected tenders whose amount exceeds 60,000 euros that have been processed following negotiated procedures without publicity and open procedures.  </w:t>
        <w:br/>
        <w:t xml:space="preserve">The negotiated procedure is provided for in Articles 169 to 175 of the TRLCSP and Articles 166 to 171 of the LCSP, a regulation that has eliminated the negotiated procedure due to the amount.  </w:t>
        <w:br/>
        <w:t xml:space="preserve">Article 178 of the TRLCSP established the conditions that must be observed during the procedure to guarantee competition:  </w:t>
        <w:br/>
        <w:t>“Article 178. Negotiation of the terms of the contract.</w:t>
      </w:r>
    </w:p>
    <w:p>
      <w:r>
        <w:rPr>
          <w:b/>
        </w:rPr>
        <w:t>[Pages 10–12]</w:t>
      </w:r>
    </w:p>
    <w:p>
      <w:r>
        <w:t xml:space="preserve">1. In the negotiated procedure, it will be necessary to request offers from at least three companies qualified to carry out the object of the contract, whenever possible.  </w:t>
        <w:br/>
        <w:t xml:space="preserve">2. The contracting authorities may structure the negotiated procedure in successive phases, in order to progressively reduce the number of offers to be negotiated by applying the award criteria indicated in the tender notice or in the specifications, stating in these if this option will be used. The number of solutions reaching the final phase must be sufficiently large to ensure effective competition, provided that a sufficient number of solutions or suitable candidates have been submitted.  </w:t>
        <w:br/>
        <w:t xml:space="preserve">3. During the negotiation, the contracting authorities will ensure that all bidders receive equal treatment. In particular, they will not provide, in a discriminatory manner, information that may give advantages to certain bidders over others.  </w:t>
        <w:br/>
        <w:t xml:space="preserve">4. The contracting authorities will negotiate with the bidders the offers they have submitted to adapt them to the requirements indicated in the specifications of administrative clauses and in the tender notice, if applicable, and in any possible supplementary documents, in order to identify the economically most advantageous offer.  </w:t>
        <w:br/>
        <w:t xml:space="preserve">5. The file must record the invitations sent, the offers received, and the reasons for their acceptance or rejection.  </w:t>
        <w:br/>
        <w:t xml:space="preserve">(emphasis added).  </w:t>
        <w:br/>
        <w:t xml:space="preserve">The negotiated procedure is defined as one in which the award will fall on the bidder justifiably chosen by the contracting authority, after consulting various candidates and negotiating the terms of the contract with one or more of them.  </w:t>
        <w:br/>
        <w:t xml:space="preserve">Since it was not necessary to publicize the procedure, competition was only ensured by fulfilling the requirement to request offers from at least three companies qualified to carry out the object of the contract "whenever possible"; an indeterminate legal concept that needed specification in each specific case.  </w:t>
        <w:br/>
        <w:t xml:space="preserve">Furthermore, since Article 177.2 of the LCSP has eliminated the negotiated procedure without publicity due to the amount, whenever the negotiated procedure is used due to the amount, tender notices must be published.  </w:t>
        <w:br/>
        <w:t xml:space="preserve">In the new LCSP, Article 170 establishes that negotiated procedures without publicity will be processed in the specific cases listed in Article 168 and in accordance with the requirements of Article 169, which is the one provided for the processing of the bidding procedure with negotiation and maintains the minimum number of bidders at three companies.  </w:t>
        <w:br/>
        <w:t xml:space="preserve">In open procedures, any interested company can submit a proposal. The LCSP has created two variants within this procedure to expedite the award of the contract: the simplified open procedure, regulated in Article 159 of the LCSP, and the summary simplified open procedure or "super simplified," in Article 159.6 of the LCSP.  </w:t>
        <w:br/>
        <w:t xml:space="preserve">IV. AFFECTED MARKET  </w:t>
        <w:br/>
        <w:t xml:space="preserve">The practices investigated affect the professional services sector and, in particular, the market for the provision of library services, management of archives and documents for the public sector.  </w:t>
        <w:br/>
        <w:t xml:space="preserve">1. Product Market  </w:t>
        <w:br/>
        <w:t xml:space="preserve">According to the National Classification of Economic Activities (CNAE-2009), the activity of archiving would be expressly included in the headings 9105.- Library activities and 91.06: "Archive activities."  </w:t>
        <w:br/>
        <w:t xml:space="preserve">This activity is aimed at designing and managing information services directed at meeting the informational needs of a specific group of users. In the context of these services, its functions include:  </w:t>
        <w:br/>
        <w:t xml:space="preserve">identification, classification, cleaning, ordering, foliation/pagination, data recording, etc.  </w:t>
        <w:br/>
        <w:t xml:space="preserve">ensuring and facilitating access to the contents and documents generated by the organization's activity.  </w:t>
        <w:br/>
        <w:t xml:space="preserve">advising and training users in information retrieval.  </w:t>
        <w:br/>
        <w:t xml:space="preserve">For its part, document management constitutes the set of rules applied to manage documents of all kinds that are created and received in an organization in order to organize, preserve, retrieve, and extract their information when necessary.  </w:t>
        <w:br/>
        <w:t xml:space="preserve">Consequently, document management must facilitate their retrieval, allow for information extraction, the weeding of those that are not necessary, the preservation of those that are important for as long as they are useful, as well as destruction when they are no longer needed, using effective and efficient methods for all of this.  </w:t>
        <w:br/>
        <w:t xml:space="preserve">However, it is not necessary to pronounce in more detail on whether the different tasks that make up the indicated services constitute a differentiated product market or whether several of them are part of the same, as this does not affect the analysis carried out in this file.  </w:t>
        <w:br/>
        <w:t xml:space="preserve">From the supply side, the number of companies providing library services is limited, primarily consisting of SMEs.  </w:t>
        <w:br/>
        <w:t xml:space="preserve">From the demand side, library, archive, and document management services are demanded both by the public sector, when referring to services of cultural or public administrative institutions, and by the private sector, when it comes to companies or other organizations that provide bibliographic, documentary, content management, cultural, or technological solutions for managing and accessing information.  </w:t>
        <w:br/>
        <w:t xml:space="preserve">Specifically, the public administration work sector includes, predominantly, libraries, media libraries, archives, documentation centers, and museums.  </w:t>
        <w:br/>
        <w:t xml:space="preserve">The evolution of the Spanish archive management market in the public sector has been intensely affected by Law 39/2015, of October 1, on Common Administrative Procedure of Public Administrations, which states that each administration must maintain a unique electronic archive of the electronic documents corresponding to completed procedures.  </w:t>
        <w:br/>
        <w:t xml:space="preserve">Although the obligation to have a unique electronic archive has been subject to a vacatio legis since the law came into force, according to its seventh final provision, Public Administrations began to carry out the necessary actions to achieve that objective.  </w:t>
        <w:br/>
        <w:t xml:space="preserve">As a result, the legislation provided that by April 2, 2021, all Public Administrations would have the necessary infrastructure to comply with the obligation to have a unique electronic archive, the development of which has occurred through Royal Decree 203/2021, of March 30, which approves the Regulation for the operation and functioning of the public sector by electronic means.  </w:t>
        <w:br/>
        <w:t>For this reason, during the years investigated, public administrations have been undergoing an unprecedented digital transformation process in which it has become necessary to increase the contracting of archiving and document management services.</w:t>
      </w:r>
    </w:p>
    <w:p>
      <w:r>
        <w:rPr>
          <w:b/>
        </w:rPr>
        <w:t>[Pages 13–15]</w:t>
      </w:r>
    </w:p>
    <w:p>
      <w:r>
        <w:t>According to the Special Report DBK Document Management, the document management market recovered a positive trend in 2015 and 2016, supported by the favorable economic situation, the outsourcing of global document management processes by private companies and public administrations, and the advancement in digital transformation (folios 5.439 to 5.445).</w:t>
      </w:r>
    </w:p>
    <w:p>
      <w:r>
        <w:t>The DBK Report specifies that specialized companies generated 50% of the business in 2016, with 33% corresponding to technology consulting firms and 17% to other companies from various fields. Large consulting firms are gaining market share in the document management sector, reflecting the growing needs for consulting and the development and implementation of applications by clients. Currently, state-dependent institutions are carrying out digital conversion tasks of documents that either originate electronically or are digitized and incorporated into platforms.</w:t>
      </w:r>
    </w:p>
    <w:p>
      <w:r>
        <w:t>In short, the market for the product affected by the investigated behaviors is that of providing library services, archive management, and documents for the public sector, primarily awarded through minor contracts, although the provision of these services through negotiated and open procedures would also have been affected in a more marginal way, as will be seen later, without the need to precisely delineate the definition of the market for the purposes of this file.</w:t>
      </w:r>
    </w:p>
    <w:p>
      <w:r>
        <w:t>2. Geographic Market</w:t>
      </w:r>
    </w:p>
    <w:p>
      <w:r>
        <w:t>The concept of the market affected by the infringing conduct (which may or may not coincide with the relevant product and geographic market) is not determined by the territory in which the conditions of competition are homogeneous, but by the geographical space in which the analyzed infringement has produced or is likely to produce effects on the conditions of effective competition.</w:t>
      </w:r>
    </w:p>
    <w:p>
      <w:r>
        <w:t>Although, from the demand perspective, the scope of the prohibited conduct is limited to that of the convening administration, from the supply perspective, all the accused companies could offer their services anywhere in the national territory since there are no regulatory, administrative, technical, or economic obstacles preventing companies offering archive services based in one area from competing with those located in others. In fact, in the work of archive and document management, by its very nature, the experience of the knowledge of the person providing the service prevails over the eventual location of the company.</w:t>
      </w:r>
    </w:p>
    <w:p>
      <w:r>
        <w:t>For this reason, as will be seen later, the accused companies submit their offers for the execution of a contract that would cover the entire national territory, even though they have their registered offices in different cities, as well as, for the same contract, the possibility of the territorial mobility of some archivists is raised. Thus, the qualification of the person to provide a service is confirmed regardless of their geographical location within the national territory.</w:t>
      </w:r>
    </w:p>
    <w:p>
      <w:r>
        <w:t>The analyzed behaviors would have occurred regarding tenders called by public administrations affecting different Autonomous Communities, primarily in the Community of Madrid, but also in Galicia and the Balearic Islands.</w:t>
      </w:r>
    </w:p>
    <w:p>
      <w:r>
        <w:t>In conclusion, the geographic market affected by the investigated behaviors is of national scope.</w:t>
      </w:r>
    </w:p>
    <w:p>
      <w:r>
        <w:t>V. ACCREDITED FACTS</w:t>
      </w:r>
    </w:p>
    <w:p>
      <w:r>
        <w:t>The accredited facts in this file have as their main sources of evidence the information gathered in the inspections of the companies BIBLIODOC (folios 542 to 927) and PANDORA (folios 944 to 1.127), the information provided by the Ministry of Defense (folios 2 to 438), and the responses to the information requests made to the investigated companies and to the public administrations.</w:t>
      </w:r>
    </w:p>
    <w:p>
      <w:r>
        <w:t>The present facts are structured into three sections, based on the relationships between the accused companies in the context of specific tenders.</w:t>
      </w:r>
    </w:p>
    <w:p>
      <w:r>
        <w:t>1. Relationships between BIBLIODOC and LIBNOVA</w:t>
      </w:r>
    </w:p>
    <w:p>
      <w:r>
        <w:t>Evidence has been gathered of the contacts that are outlined below between BIBLIODOC and LIBNOVA in relation to 10 contracts tendered by various Public Administrations during the years 2016 to 2019.</w:t>
      </w:r>
    </w:p>
    <w:p>
      <w:r>
        <w:t>A. Year 2016</w:t>
      </w:r>
    </w:p>
    <w:p>
      <w:r>
        <w:t>1. In 2016, the National Institute of Agricultural and Food Technology (INIA) tendered a minor contract with reference "16/35 Extraction, transfer, relocation of bibliographic funds and notation and topographic signature," to be awarded following the provisions established for minor contracts.</w:t>
      </w:r>
    </w:p>
    <w:p>
      <w:r>
        <w:t>In relation to this contract, on February 19, 2016, BIBLIODOC sent an email to LIBNOVA with the subject "hello, I need a quote from you, friend price," with the economic proposal details in the body of the email (€20,981.40, VAT included) and the following transcription:</w:t>
      </w:r>
    </w:p>
    <w:p>
      <w:r>
        <w:t>"Those data as is, but change the presentation format, which is mine, modify it as you wish."</w:t>
      </w:r>
    </w:p>
    <w:p>
      <w:r>
        <w:t>In response to the aforementioned email, LIBNOVA requested the following clarification:</w:t>
      </w:r>
    </w:p>
    <w:p>
      <w:r>
        <w:t>"I don't understand, is it a losing offer, or do you want me to win? I'll call you tomorrow and you tell me and I'll prepare it."</w:t>
      </w:r>
    </w:p>
    <w:p>
      <w:r>
        <w:t>To which BIBLIODOC replied: "It's a losing one. Mine is cheaper. Put the prices I send you."</w:t>
      </w:r>
    </w:p>
    <w:p>
      <w:r>
        <w:rPr>
          <w:b/>
        </w:rPr>
        <w:t>[Pages 16–18]</w:t>
      </w:r>
    </w:p>
    <w:p>
      <w:r>
        <w:t>INIA has confirmed that BIBLIODOC was awarded the contract with an offer amounting to 16,626 euros, excluding VAT, and that LIBNOVA also participated in the bidding with an offer amounting to 20,981.40 euros, including VAT, which coincides with the one shared in the emails transcribed earlier (folio 2,327).</w:t>
      </w:r>
    </w:p>
    <w:p>
      <w:r>
        <w:t>2. On June 22, 2016, LIBNOVA sent an email to BIBLIODOC regarding a contract tendered by the Regional Library of Madrid (CAM), with the subject "losing offer Regional Library of Madrid" and the following content (folios 578 and 579):</w:t>
        <w:br/>
        <w:t>"Installation of Ceiling Scanner at the Royal Academy of Language</w:t>
        <w:br/>
        <w:t>Digitization and creation of metadata in the Collection of Comedies of the General Fund. 1,204 prints from the 17th and 18th centuries (approximately 36,120 pages)</w:t>
        <w:br/>
        <w:t>[…]</w:t>
        <w:br/>
        <w:t>17,950 Excluding VAT</w:t>
        <w:br/>
        <w:t>xxxxxx@madrid.org."</w:t>
        <w:br/>
        <w:t>BIBLIODOC's response was as follows (folio 578): "Already sent."</w:t>
      </w:r>
    </w:p>
    <w:p>
      <w:r>
        <w:t>3. In the same year, there is a direct contact between both companies regarding a minor contract tendered by the Ministry of Defense (Army) with reference "2016/SP01010020/00000474 Service for the integration of objects in the documentary system for the management of movable historical heritage (MILES)." An email has been obtained dated July 19, 2016, sent by LIBNOVA to BIBLIODOC in which it indicates the following (folio 580):</w:t>
        <w:br/>
        <w:t>"After what we talked about on the phone, I am sending you the contact and the Word document, you just need to put the price of 17,900 plus VAT."</w:t>
        <w:br/>
        <w:t>BIBLIODOC's response (folio 580): "sent."</w:t>
      </w:r>
    </w:p>
    <w:p>
      <w:r>
        <w:t>4. In November 2016, both companies contacted each other again after being invited to submit an offer for a negotiated contract without publicity tendered by the National Museum Center of Art Reina Sofia (MNCARS) with reference "201600000402 Document cataloging service in any format in the MNCARS Library."</w:t>
        <w:br/>
        <w:t>On November 15, 2016, LIBNOVA sent an email to BIBLIODOC with the following indication (folio 606):</w:t>
        <w:br/>
        <w:t>"I am attaching the Word documents for printing, in yellow and with XXXX the data that I do not know about you."</w:t>
        <w:br/>
        <w:t>The aforementioned email includes all the documents to be submitted for this tender, lacking only the details of the company, among which is an economic offer of "59,900 euros, excluding VAT" (folio 611). The contracting authority has confirmed that the contract was awarded to BIBLIODOC with an offer of 59,820 euros (excluding VAT) and that LIBNOVA also participated, presenting an offer of 59,900 euros (excluding VAT), which coincides with the amount indicated in the transcribed email, as well as that of a third company not initiated (folio 2,211).</w:t>
      </w:r>
    </w:p>
    <w:p>
      <w:r>
        <w:t>5. Regarding a contract tendered by the General Inspection of Defense Health (IGSEAN), BIBLIODOC sent an email on December 21, 2016, to LIBNOVA with the following content (folio 631):</w:t>
        <w:br/>
        <w:t>"By the way, I now have the need, can I pass your details for a negotiated IGESAN so that they send you the offer and you do nothing?"</w:t>
      </w:r>
    </w:p>
    <w:p>
      <w:r>
        <w:t>B. Year 2017</w:t>
      </w:r>
    </w:p>
    <w:p>
      <w:r>
        <w:t>6. An email dated March 13, 2017, has been obtained, sent by LIBNOVA to BIBLIODOC in which it makes the following request regarding a minor contract to be awarded by the Regional Library of Madrid (folios 635 and 636):</w:t>
        <w:br/>
        <w:t>"Could you make me an offer for the Regional Library of Madrid and send it to xxxxx@madrid.org</w:t>
        <w:br/>
        <w:t>The data would be these:</w:t>
        <w:br/>
        <w:t>[…]</w:t>
        <w:br/>
        <w:t>Total: 17,995 € Excluding VAT."</w:t>
        <w:br/>
        <w:t>BIBLIODOC's response is as follows: "sent."</w:t>
      </w:r>
    </w:p>
    <w:p>
      <w:r>
        <w:t>C. Year 2018</w:t>
      </w:r>
    </w:p>
    <w:p>
      <w:r>
        <w:t>7. On October 5, 2018, BIBLIODOC sent an email to LIBNOVA with the subject "question about defense specifications," inquiring whether the latter would be submitting a bid for a tender called by the Undersecretary of Defense (folio 721). In response to the aforementioned email, LIBNOVA states (folio 720): "I am passing on defense, unless you present and we go."</w:t>
        <w:br/>
        <w:t>Finally, after LIBNOVA's refusal, BIBLIODOC asks (folio 719): "any friendly company that can do it?"</w:t>
      </w:r>
    </w:p>
    <w:p>
      <w:r>
        <w:t>8. Regarding a project from the Council of Constitutional Studies, an email dated October 11, 2018, has been obtained, sent by BIBLIODOC to LIBNOVA in which it makes a subcontracting proposal in the following terms (folio 725):</w:t>
        <w:br/>
        <w:t>"The offer I propose: you pass the budget, and all you have to do is invoice for 7 months what corresponds, and we make a subcontracting contract between us that indicates that BIBLIODOC is in charge of the work and the personnel, and you take a commission of 5% if that seems good to you."</w:t>
      </w:r>
    </w:p>
    <w:p>
      <w:r>
        <w:t>9. Regarding a minor contract tendered by the Ministry of Development, with reference "011822CTC410 Perform the correction and recording of data in the database of the General Secretariat of Housing archive," on November 8, 2018, BIBLIODOC sent an email to LIBNOVA with the following content (folio 735):</w:t>
        <w:br/>
        <w:t>"Can I give your details for a friendly budget for development?"</w:t>
        <w:br/>
        <w:t>On November 21, 2018, BIBLIODOC sent another email to LIBNOVA to inform them of the following (folio 761):</w:t>
        <w:br/>
        <w:t>"I received this morning the invitation I told you about from Development, put in an offer for 18,100 net, I will pick up the paper and I will deliver it myself."</w:t>
        <w:br/>
        <w:t>In response to the previous email, LIBNOVA indicated that (folio 762):</w:t>
        <w:br/>
        <w:t>"You would do me a great favor if you give me all the text I need to put, I will prepare it, print it, and see how I can get it to you."</w:t>
        <w:br/>
        <w:t>The contracting authority has confirmed the submission of offers by BIBLIODOC (17,787 euros, including VAT) and by LIBNOVA (18,000 euros, including VAT), with the contract awarded to BIBLIODOC (folio 2,350).</w:t>
      </w:r>
    </w:p>
    <w:p>
      <w:r>
        <w:t>D. Year 2019</w:t>
      </w:r>
    </w:p>
    <w:p>
      <w:r>
        <w:t>10. On April 24, 2019, BIBLIODOC sent an email to LIBNOVA regarding a minor contract tendered by the Center for Military History and Culture of the Balearic Islands with the reference "Cataloging of infantry archive funds." The email has the subject "an offer for the Mallorca archive" and requests the following (817):</w:t>
        <w:br/>
        <w:t>"Can I pass your email so they can make a request?"</w:t>
        <w:br/>
        <w:t>An email from BIBLIODOC, dated the same day, has been obtained, in which it sends LIBNOVA's contact information so that they can direct an invitation to the latter (folio 824).</w:t>
      </w:r>
    </w:p>
    <w:p>
      <w:r>
        <w:rPr>
          <w:b/>
        </w:rPr>
        <w:t>[Pages 19–21]</w:t>
      </w:r>
    </w:p>
    <w:p>
      <w:r>
        <w:t xml:space="preserve">On April 25, 2019, LIBNOVA requested via email from BIBLIODOC confirmation that the invitation it had received referred to the same contract regarding which BIBLIODOC had previously contacted it (folio 840):  </w:t>
        <w:br/>
        <w:t xml:space="preserve">“This was what you were telling me? Tell me what to do or send me what to send…”  </w:t>
        <w:br/>
        <w:t xml:space="preserve">A few days later, on April 29, 2019, BIBLIODOC sent LIBNOVA the following email (folio 856):  </w:t>
        <w:br/>
        <w:t xml:space="preserve">“I’m sending you the budget to send to [CONFIDENTIAL]@mde.es  </w:t>
        <w:br/>
        <w:t xml:space="preserve">I’m already looking at the one for Medina Sidonia.  </w:t>
        <w:br/>
        <w:t xml:space="preserve">Best regards”  </w:t>
        <w:br/>
        <w:t xml:space="preserve">The draft budget sent by BIBLIODOC bears the LIBNOVA logo and an economic proposal of €13.05/hour + VAT (folios 867 to 861).  </w:t>
        <w:br/>
        <w:t xml:space="preserve">On the other hand, BIBLIODOC's proposal is €13.00/hour + VAT (folio 875).  </w:t>
        <w:br/>
        <w:t xml:space="preserve">2. Relations between BIBLIODOC and PANDORA  </w:t>
        <w:br/>
        <w:t xml:space="preserve">Next, the documentation in the file regarding the direct contacts during the years 2018 and 2019 between these two companies in relation to a total of 3 tenders called by different public administrations is indicated.  </w:t>
        <w:br/>
        <w:t xml:space="preserve">11. In relation to a contract with reference “2018/SP01010020/00000489 Service for the archival treatment of documentary series and collections held in the archives of the Defense archival system,” on November 13, 2018, BIBLIODOC sent an email to PANDORA with the following content (folio 1.041):  </w:t>
        <w:br/>
        <w:t xml:space="preserve">“Hello […] I’m sending you a summary table of the project.  </w:t>
        <w:br/>
        <w:t xml:space="preserve">I think we should go for 50%, each of us calculates half of the hours of archivist and assistant, we exchange the price and each of us makes the offer with the other 50% own and the 50% of the partner, taking into account the possible cost of salary increases and computer prices. If the project goes ahead, we would then arrange work locations and total months, to do half of the hours each […]  </w:t>
        <w:br/>
        <w:t xml:space="preserve">What do you think of the plan? Any other proposal?”  </w:t>
        <w:br/>
        <w:t xml:space="preserve">A few days later, on November 19, 2018, BIBLIODOC wrote again to PANDORA indicating the following (folio 1.023):  </w:t>
        <w:br/>
        <w:t xml:space="preserve">“Rereading the PPT I saw that in addition to the titles and a list of personnel that need to be assigned to the centers, it’s easy to add a column for names in Excel, we need to present the CVs.  </w:t>
        <w:br/>
        <w:t xml:space="preserve">Better if they send them to us in Word to remove personal data except for the name. PPT page 18.”  </w:t>
        <w:br/>
        <w:t xml:space="preserve">On November 21, 2018, BIBLIODOC again indicated to PANDORA the following (folio 1.038):  </w:t>
        <w:br/>
        <w:t xml:space="preserve">“I’m returning the Excel with the names I have contacted.  </w:t>
        <w:br/>
        <w:t xml:space="preserve">I hope to have the documentation by Friday or Monday at the latest. Of those whose names I still do not have:  </w:t>
        <w:br/>
        <w:t xml:space="preserve">Cartagena: A contact I have in Murcia is managing it for me and has just confirmed that he is sending me documentation for two profiles, but I still don’t know the names.  </w:t>
        <w:br/>
        <w:t xml:space="preserve">Ceuta: I spoke with the responsible colonel and he will pass my contact to two people who have worked there but he couldn’t tell me if they were qualified... I’m waiting.  </w:t>
        <w:br/>
        <w:t xml:space="preserve">Melilla: Impossible to contact, no one answers the phone.  </w:t>
        <w:br/>
        <w:t xml:space="preserve">Las Palmas: I see that in the Excel it says that two profiles would be needed, but in reality, one would suffice, right?  </w:t>
        <w:br/>
        <w:t xml:space="preserve">Guadalajara: Just the opposite, it shows 1 profile, but 2 would be needed. I don’t know if it could be squared with any of those from Madrid.”  </w:t>
        <w:br/>
        <w:t xml:space="preserve">On November 26, 2018, BIBLIODOC asks PANDORA (folio 1.065):  </w:t>
        <w:br/>
        <w:t xml:space="preserve">“Have you finally not been able to locate anyone in Cartagena?” PANDORA responds affirmatively, providing two names that match the assignments of archivists for those locations in the corresponding offers submitted to the Ministry of Defense, according to the information provided by this body (folios 76 and 240).  </w:t>
        <w:br/>
        <w:t xml:space="preserve">The Ministry of Defense informed the DC about the similarity of offers submitted by BIBLIODOC and PANDORA for this tender, including the same economic proposal (€751,500, VAT excluded) (folios 74 and 238).  </w:t>
        <w:br/>
        <w:t xml:space="preserve">12. On April 25, 2019, BIBLIODOC sent an email to PANDORA regarding the minor contract for cataloging archival funds of infantry tendered by the Center for Military History and Culture of the Balearic Islands, with the following content (folio 843):  </w:t>
        <w:br/>
        <w:t xml:space="preserve">“Within our collaborative scope, can I give your email so that you receive a request for an offer and give a friendly offer? It’s from our contacts in Defense.”  </w:t>
        <w:br/>
        <w:t xml:space="preserve">PANDORA's response was: “Of course, no problem.”  </w:t>
        <w:br/>
        <w:t xml:space="preserve">The email chain concludes with the following thank you from BIBLIODOC:  </w:t>
        <w:br/>
        <w:t xml:space="preserve">“Thank you for the offer, initially I located another company, but I don’t know if it will be necessary, I have you as a backup.”  </w:t>
        <w:br/>
        <w:t xml:space="preserve">Regarding the same contract, on April 25, 2019, BIBLIODOC notified PANDORA's contact (folio 850) and sent an email to the latter with the subject “you will receive the request” and the following content (folio 853):  </w:t>
        <w:br/>
        <w:t xml:space="preserve">“It’s from the military archive of the Balearic Islands, I will tell you the price to set.”  </w:t>
        <w:br/>
        <w:t xml:space="preserve">In response to the previous email, PANDORA confirmed that it had received the invitation from the contracting authority (folio 853) and, on April 29, 2019, BIBLIODOC sent PANDORA the following email (folio 855):  </w:t>
        <w:br/>
        <w:t xml:space="preserve">“Hello [CONFIDENTIAL], an easy and simple budget for the Balearic Islands  </w:t>
        <w:br/>
        <w:t xml:space="preserve">Price per hour: €13.10 net per hour + VAT  </w:t>
        <w:br/>
        <w:t xml:space="preserve">[CONFIDENTIAL]@mde.es”  </w:t>
        <w:br/>
        <w:t xml:space="preserve">13. An email dated April 30, 2019, sent by BIBLIODOC to PANDORA has the subject “remember to send the budget for Mallorca, they have requested it from me” (folios 880 and 881). It includes an offer with a budget of “€8,255 plus VAT” (folios 883 and 884).  </w:t>
        <w:br/>
        <w:t xml:space="preserve">In response, PANDORA states the following (folio 880):  </w:t>
        <w:br/>
        <w:t xml:space="preserve">“Sorry […], I had overlooked it. Confirm if this works for you and I will send it.”  </w:t>
        <w:br/>
        <w:t xml:space="preserve">The email thread ends with one from BIBLIODOC in which it concludes: “Ok perfect, thanks for the management, I owe you one.”  </w:t>
        <w:br/>
        <w:t xml:space="preserve">3. Relations between ALACAJA and PANDORA  </w:t>
        <w:br/>
        <w:t xml:space="preserve">14. On October 10, 2018, there is an email sent by ALACAJA to PANDORA regarding a minor contract tendered by the Northwest Military Institute, with reference “20427/18/0620/99 Technical Service to carry out archival tasks related to the General Captaincy of Burgos – Ferrol.”  </w:t>
        <w:br/>
        <w:t>In the email, under the title “Organization and description of files of</w:t>
      </w:r>
    </w:p>
    <w:p>
      <w:r>
        <w:rPr>
          <w:b/>
        </w:rPr>
        <w:t>[Pages 22–24]</w:t>
      </w:r>
    </w:p>
    <w:p>
      <w:r>
        <w:t>personal background of the documentary archive of the captaincy general of Burgos,” ALACAJA indicates the following (folios 978 and 979): “I received this invitation, do you have it? Burgos is too far for me, if you need me to do something, let me know.” In response to the aforementioned email, PANDORA indicates that: “I am working on it. It is for Ferrol. The deadline ends today. I will tell you my offer and you can put in a bit more expensive like other times.” PANDORA sent ALACAJA a draft budget with a price of 6,600 euros plus VAT (folio 977), indicating: “You can submit this offer. I have lowered it a bit although it is very tight... By the way, I have not received anything from that budget you mentioned.”</w:t>
      </w:r>
    </w:p>
    <w:p>
      <w:r>
        <w:t>VI. Legal Grounds</w:t>
      </w:r>
    </w:p>
    <w:p>
      <w:r>
        <w:t>FIRST. Competence to resolve</w:t>
        <w:br/>
        <w:t>According to Article 5.1.c) of Law 3/2013, of June 4, creating the National Commission of Markets and Competition (LCNMC), the CNMC is responsible for “applying the provisions of Law 15/2007, of July 3, regarding conduct that prevents, restricts, or distorts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Consequently, the competence to resolve this procedure corresponds to the Competition Chamber of the CNMC Council.</w:t>
      </w:r>
    </w:p>
    <w:p>
      <w:r>
        <w:t>SECOND. Object of the resolution and applicable regulations</w:t>
        <w:br/>
        <w:t>The Competition Chamber of the Council must resolve in this file, based on the instruction carried out by the DC as reflected in the report and proposal for resolution, whether the investigated practices constitute an infringement of Article 1 of the LDC. Regarding the applicable national regulations, this file refers to a series of practices carried out during the validity of the LDC.</w:t>
      </w:r>
    </w:p>
    <w:p>
      <w:r>
        <w:t>THIRD. Proposal for resolution from the instructing body</w:t>
        <w:br/>
        <w:t>Once the sanctioning procedure has been instructed, the DC proposes to this Chamber that the existence of the following infringements be declared:</w:t>
        <w:br/>
        <w:t>- A single and continuous infringement constitutive of a cartel between BIBLIODOC and LIBNOVA, consisting of the manipulation of public tenders in the market for library services, archive management, and documents in Spain, from February 2016 to June 2019.</w:t>
        <w:br/>
        <w:t>- A single and continuous infringement constitutive of a cartel between BIBLIODOC and PANDORA, consisting of the manipulation of two public tenders in the market for library services, archive management, and documents in Spain, from October 2018 to June 2019.</w:t>
        <w:br/>
        <w:t>- A bilateral agreement constitutive of a cartel between ALACAJA and PANDORA, consisting of the manipulation of a public tender in the market for library services, archive management, and documents in Spain, in October 2018.</w:t>
        <w:br/>
        <w:t>The DC proposes that the sanctions provided for in Article 63.1.c) of the LDC for very serious infringements be imposed and the amounts included in section 7 of its proposal for resolution. Additionally, the DC proposes the prohibition of contracting for the sanctioned companies, under the terms and with the exceptions established in section 7 of the proposal for resolution.</w:t>
      </w:r>
    </w:p>
    <w:p>
      <w:r>
        <w:t>FOURTH. Assessment of the competition chamber</w:t>
        <w:br/>
        <w:t>A. Classification of the conduct</w:t>
        <w:br/>
        <w:t>Article 1 of the LDC prohibits any agreement, decision, or collective recommendation, or concerted or consciously parallel practice, that has as its object, produces, or may produce the effect of preventing, restricting, or distorting competition in all or part of the national market. An agreement is considered to exist when companies associate in a common plan that limits or may limit their commercial policy by determining their courses of action in the market, which may be explicit or implicit in the behavior of the parties. The competitive functioning of the market requires that each operator decides its behavior and makes its decisions independently, which implies that any direct or indirect contact between competitors aimed at influencing the behavior of a current or potential competitor or disclosing to others the behavior that one has decided or intends to maintain in the market is not possible. It would suffice that the participating entities had expressed their common will to behave in the market in a certain way, after direct or indirect contact likely, not only to influence the behavior of a real or potential competitor, but to disclose to them the behavior that has been decided or is intended to be followed in the market. The agreements prohibited by Article 1 of the LDC must have the object or effect of preventing, restricting, or distorting competition in the market. In this regard, the case law of the Court of Justice shows that some types of coordination between companies reveal a degree of harm to competition sufficient to be classified as a restriction by object, as they are inherently detrimental to the proper functioning of competition. Among such behaviors is the market sharing and, in particular, the alteration of the proper functioning of public tenders. This is so because the lack of competition in these contracts can lead to a decline in the quality of the services that companies provide to the administration (and, consequently, of those that it provides to citizens). Furthermore, the lack of competitive tension that is inherent to the existence of conduct contrary to competition has a direct impact on the prices that the administration must pay for the services received and, consequently, is contrary to the efficiency required of the administration in its actions. Competition among bidders is the way to ensure that public sector entities benefit from the best offers in terms of price, quality, and innovation, aspects that are particularly relevant in the case of archival and document management services due to their close connection with the latest technological developments. This is joined by the mandate that, since the approval of Laws 39/2015 and 40/2015, has been made to all.</w:t>
      </w:r>
    </w:p>
    <w:p>
      <w:r>
        <w:rPr>
          <w:b/>
        </w:rPr>
        <w:t>[Pages 25–27]</w:t>
      </w:r>
    </w:p>
    <w:p>
      <w:r>
        <w:t>the public administrations to have a unique electronic archive in order to achieve a "zero paper" administration. Therefore, deficient competition conditions entail a greater economic effort for the entities contracting goods and services and, consequently, for the citizens, who are harmed doubly as consumers and as taxpayers. An anticompetitive agreement can be an isolated act, but more frequently the concept of agreement must be understood in a broad sense, including a series of acts or behaviors that constitute a general plan involving a distortion in prices, the exchange of information, or the allocation of customers over an extended period of time.</w:t>
      </w:r>
    </w:p>
    <w:p>
      <w:r>
        <w:t>For its part, the current definition of a cartel is as follows: “any agreement or concerted practice between two or more competitors whose objective is to coordinate their competitive behavior in the market or influence the parameters of competition through practices such as, among others, the fixing or coordination of purchase or sale prices or other commercial conditions, even in relation to intellectual and industrial property rights; the allocation of production or sales quotas; the division of markets and customers, including collusion in bidding, restrictions on imports or exports, or measures against other competitors contrary to competition.”</w:t>
      </w:r>
    </w:p>
    <w:p>
      <w:r>
        <w:t>In light of the above, a joint analysis of the three infringements will be carried out given the common nature of the behaviors arising from the facts and the market sector in which they occurred. Without prejudice to such consideration and unique treatment, the singular aspects that are defining of each of the three infringements will be subject to individualized analysis.</w:t>
      </w:r>
    </w:p>
    <w:p>
      <w:r>
        <w:t>The following analyzes the established behaviors.</w:t>
      </w:r>
    </w:p>
    <w:p>
      <w:r>
        <w:t>a. Existence of agreements between the companies</w:t>
      </w:r>
    </w:p>
    <w:p>
      <w:r>
        <w:t>The established facts demonstrate the existence of concurrence of wills among three groups of companies:</w:t>
      </w:r>
    </w:p>
    <w:p>
      <w:r>
        <w:t>- between BIBLIODOC and LIBNOVA, there is repeated exchange of emails regarding essential elements of various tenders (facts 1 to 10), at least between 2016 and June 2019;</w:t>
        <w:br/>
        <w:t>- between BIBLIODOC and PANDORA, there is also evidence of exchanges of sensitive information and agreements related to several tenders (facts 11 to 13) from October 2018 to June 2019;</w:t>
        <w:br/>
        <w:t>- between PANDORA and ALACAJA, the existence of an agreement related to a specific tender has been established (fact 14), in October 2018.</w:t>
      </w:r>
    </w:p>
    <w:p>
      <w:r>
        <w:t>In all three cases, the existence of exchanges of sensitive information between the companies and a prior determination of the prices to be included in the offers has been verified, being these decisive in the awarding of contracts. It has also been verified that requests and acceptance of fictitious cover offers occurred between the companies. In these, one of the companies requests the other to submit an offer with a price higher than its own to give the administration the appearance of competition, which necessarily implies the existence of an agreement that eliminates competition and unduly alters the conditions of public contracts.</w:t>
      </w:r>
    </w:p>
    <w:p>
      <w:r>
        <w:t>In the case of PANDORA and BIBLIODOC, the exchange of resumes of candidates has also been proven.</w:t>
      </w:r>
    </w:p>
    <w:p>
      <w:r>
        <w:t>The following table lists the tenders in which there is evidence of alteration in each of the three infringements.</w:t>
      </w:r>
    </w:p>
    <w:p>
      <w:r>
        <w:t>Table 4. List of tenders affected by each of the infringements</w:t>
      </w:r>
    </w:p>
    <w:p>
      <w:r>
        <w:t>FACTS COMPANIES</w:t>
        <w:br/>
        <w:t>COMPANY YEAR TENDERING AFFECTED PROVEN with TERRITORY</w:t>
        <w:br/>
        <w:t>AWARDED</w:t>
        <w:br/>
        <w:t>coverages</w:t>
        <w:br/>
        <w:t>INFRINGEMENT BIBLIODOC- LIBNOVA</w:t>
        <w:br/>
        <w:t>National Institute 16/5 Extraction, relocation 1</w:t>
        <w:br/>
        <w:t>of Agricultural 2016 BIBLIODOC Madrid</w:t>
        <w:br/>
        <w:t>Technology of funds and bibliographic and LIBNOVA</w:t>
        <w:br/>
        <w:t>and Food notation and topographical Minor.</w:t>
        <w:br/>
        <w:t>(INIA) signature.</w:t>
      </w:r>
    </w:p>
    <w:p>
      <w:r>
        <w:t>Regional Library 2 BIBLIODOC</w:t>
        <w:br/>
        <w:t>of Madrid (CAM) 2016 LIBNOVA and no information available Madrid</w:t>
        <w:br/>
        <w:t>2016/SP01010020/00000474</w:t>
        <w:br/>
        <w:t>Ministry of Service for the integration of 3</w:t>
        <w:br/>
        <w:t>Defense objects in the documentary LIBNOVA and</w:t>
        <w:br/>
        <w:t>2016 LIBNOVA Madrid</w:t>
        <w:br/>
        <w:t>(Army of system for the management of BIBLIODOC</w:t>
        <w:br/>
        <w:t>Land) historical movable heritage</w:t>
        <w:br/>
        <w:t>(MILES). Minor.</w:t>
      </w:r>
    </w:p>
    <w:p>
      <w:r>
        <w:t>Museum 201600000402 Service of</w:t>
        <w:br/>
        <w:t>BIBLIODOC</w:t>
        <w:br/>
        <w:t>2016 National cataloging of documents 4 BIBLIODOC Madrid</w:t>
        <w:br/>
        <w:t>and LIBNOVA</w:t>
        <w:br/>
        <w:t>Center for Art in any support in the</w:t>
        <w:br/>
        <w:t>S/0025/19 MANAGEMENT National Commission of Markets and Competition Page 26 of 62</w:t>
        <w:br/>
        <w:t>ARCHIVES C/ Barquillo, 5 – 28004 Madrid - C/ Bolivia, 56 – 08018 Barcelona</w:t>
        <w:br/>
        <w:t>www.cnmc.es</w:t>
      </w:r>
    </w:p>
    <w:p>
      <w:r>
        <w:t>Reina Sofía Library of the MNCARS.</w:t>
        <w:br/>
        <w:t>(MNCARS) Negotiated without publicity.</w:t>
      </w:r>
    </w:p>
    <w:p>
      <w:r>
        <w:t>Regional Library 6 BIBLIODOC</w:t>
        <w:br/>
        <w:t>of Madrid 2017 Minor LIBNOVA and no information available Madrid</w:t>
      </w:r>
    </w:p>
    <w:p>
      <w:r>
        <w:t>011822CTC410 Perform the</w:t>
        <w:br/>
        <w:t>Ministry of correction and recording of 9 BIBLIODOC</w:t>
        <w:br/>
        <w:t>2018 data in the database of the BIBLIODOC Madrid</w:t>
        <w:br/>
        <w:t>Development and LIBNOVA</w:t>
        <w:br/>
        <w:t>archive of the General</w:t>
        <w:br/>
        <w:t>Secretariat of Housing. Minor.</w:t>
      </w:r>
    </w:p>
    <w:p>
      <w:r>
        <w:t>Center of 10 BIBLIODOC,</w:t>
        <w:br/>
        <w:t>History and Cataloging of funds of 12 LIBNOVA and no information available Mallorca</w:t>
        <w:br/>
        <w:t>Military Culture infantry archive information</w:t>
        <w:br/>
        <w:t>PANDORA</w:t>
        <w:br/>
        <w:t>of Balearic Islands</w:t>
      </w:r>
    </w:p>
    <w:p>
      <w:r>
        <w:t>INFRINGEMENT BIBLIODOC-PANDORA</w:t>
        <w:br/>
        <w:t>2018/SP01010020/00000489.</w:t>
        <w:br/>
        <w:t>Service of archival treatment 11</w:t>
        <w:br/>
        <w:t>Ministry of BIBLIODOC</w:t>
        <w:br/>
        <w:t>2018 of documentary series and collections Cessation due to Madrid</w:t>
        <w:br/>
        <w:t>Defense and PANDORA</w:t>
        <w:br/>
        <w:t>guarded in archives of the Administration</w:t>
        <w:br/>
        <w:t>archival system of the</w:t>
        <w:br/>
        <w:t>Defense. Open.</w:t>
      </w:r>
    </w:p>
    <w:p>
      <w:r>
        <w:t>Center of 12 BIBLIODOC,</w:t>
        <w:br/>
        <w:t>History and Cataloging of funds of 12 LIBNOVA and no information available Mallorca</w:t>
        <w:br/>
        <w:t>Military Culture infantry archive information</w:t>
        <w:br/>
        <w:t>PANDORA</w:t>
        <w:br/>
        <w:t>of Balearic Islands</w:t>
      </w:r>
    </w:p>
    <w:p>
      <w:r>
        <w:t>INFRINGEMENT ALACAJA- PANDORA</w:t>
        <w:br/>
        <w:t>20427/18/0620/99 Service</w:t>
        <w:br/>
        <w:t>Technical Military Institute to carry out the 14 ALACAJA and</w:t>
        <w:br/>
        <w:t>2018 archival tasks PANDORA Ferrol</w:t>
        <w:br/>
        <w:t>Northwest PANDORA</w:t>
        <w:br/>
        <w:t>related to the Captaincy</w:t>
        <w:br/>
        <w:t>general of Burgos. Minor.</w:t>
      </w:r>
    </w:p>
    <w:p>
      <w:r>
        <w:t>Without prejudice to the above, contacts between the companies have also been observed due to the call for other tenders. Between BIBLIODOC and LIBNOVA, in relation to a negotiated procedure to be held by the General Inspection of Defense Health in 2016 (fact 5), a tender that had been called by the Undersecretariat of Defense (fact 7) and a project of the Council of Constitutional Studies in 2018 (fact 8). Likewise, contacts between BIBLIODOC and PANDORA regarding the submission of offers for a tender in Mallorca (fact 13) have been evidenced.</w:t>
      </w:r>
    </w:p>
    <w:p>
      <w:r>
        <w:t>Regarding the three infringements, there are emails whose content leaves no doubt about the intention of bilateral collaboration between the companies. In them, the high level of trust between the companies that offer the coverages is verified with total naturalness.</w:t>
      </w:r>
    </w:p>
    <w:p>
      <w:r>
        <w:t>In some cases, information is even exchanged about contracts that one company is aware of -but not interested in- in case it is of interest to their</w:t>
      </w:r>
    </w:p>
    <w:p>
      <w:r>
        <w:rPr>
          <w:b/>
        </w:rPr>
        <w:t>[Pages 28–30]</w:t>
      </w:r>
    </w:p>
    <w:p>
      <w:r>
        <w:t>co-participants. This is reflected, for example, in the following email sent by ALACAJA to PANDORA regarding a contract tendered by the General Captaincy of Burgos (Ferrol), ultimately awarded to PANDORA (pages 978 and 979):</w:t>
        <w:br/>
        <w:t>“I received this invitation, do you have it? Burgos is a bit far for me, if you need me to do something just let me know.”</w:t>
        <w:br/>
        <w:t>In short, from the established facts, it can be deduced that the companies participating in the three infringements have a clear understanding of how the agreements work and a great willingness to carry them out. This is evidenced, for example, in the email sent by BIBLIODOC to PANDORA regarding a contract for the Intermediate Archive of the Balearic Islands, in which PANDORA, despite having initially accepted participation, is left “on reserve” and, nonetheless, agrees to participate in the coverage (page 843).</w:t>
        <w:br/>
        <w:t>The companies participating in the three infringements manipulated the evaluation of the economic offers submitted in their favor, resulting in a distortion of competition that has exclusively benefited the companies that opted to refrain from carrying out an individual and independent commercial policy from the rest of the operators, against the other competitors not participating in that collusion or potential competitors who might want to enter this market and, in all three cases, against the general interest.</w:t>
        <w:br/>
        <w:t>This Chamber concludes the existence of the three agreements described between the companies consisting of coordinating strategies to not compete, at least, in the 9 previously indicated tenders. The three agreements are expressly prohibited by Article 1 of the LDC.</w:t>
        <w:br/>
        <w:t>b. The restrictive object of competition</w:t>
        <w:br/>
        <w:t>According to the aforementioned national and European case law, it is based on the idea that behaviors whose harmful nature, according to experience and economic knowledge, is proven and therefore presumable without the need for express accreditation can be considered restrictive of competition by object.</w:t>
        <w:br/>
        <w:t>To determine whether an agreement or concerted practice reveals a degree of harm sufficient to be considered a restriction of competition by its object, attention must be paid to the content of the agreement, but also to the objectives it aims to achieve and the economic and legal context in which it is framed, also considering the nature of the goods or services affected and the actual conditions of the functioning and structure of the relevant market.</w:t>
        <w:br/>
        <w:t>The so-called “cover bids” are a form of collusion in tenders, frequently in those called by public administrations, to which case law has attributed sufficient substance to constitute a restriction of competition by object. The description of the practice carried out by the European Commission in the Mudanzas Internacionales case stands out:</w:t>
        <w:br/>
        <w:t>“The submission of cover bids to clients is a manipulation of the bidding process. The manipulation consists of the fact that the participating companies, except for the one presenting the lowest bid, have no intention of winning the contract. This means that the client faces a false choice and that the bid prices received are deliberately higher than that presented by the company with the lowest bid, which is also, in any case, higher than what would have resulted in a competitive environment.”</w:t>
        <w:br/>
        <w:t>Likewise, the Public Procurement Guide published by the CNC emphasized the importance of respecting the participation rules in public procurement procedures and warned of practices such as “cover bids” that “negatively affect both competition in the markets for the goods and services tendered and the management that the administrations make of public resources.”</w:t>
        <w:br/>
        <w:t>In this case, it has been proven that the three bilateral agreements generated the existence of cover bids that turned the tenders into a mere fictitious formality, since, prior to their award, the companies agreed to submit a fictitious bid at the request of another.</w:t>
        <w:br/>
        <w:t>To ensure the effectiveness of the three agreements, it has been established that, on occasions, the requesting company for the cover not only indicated the price but sometimes even prepared the content of the bid. The company that formally submitted the fictitious bid only had to add the personal data and signature. Thus, in an email sent by BIBLIODOC to LIBNOVA, the necessary documents to participate in a tender called by the Museo de Arte Reina Sofía are attached, indicating the following (page 606):</w:t>
        <w:br/>
        <w:t>“I am attaching the Word documents for printing, in yellow and with XXXX the data that I do not know about you.”</w:t>
        <w:br/>
        <w:t>Sometimes the companies collected the bids from their supposed competitors to submit them to the contracting authority. This has been proven in the context of a tender called by the Ministry of Development regarding which BIBLIODOC, in an email sent to LIBNOVA, states that the latter must make a bid for 18,000 euros, offering to collect the paper and deliver it (page 761). LIBNOVA responds: “You would do me a great favor if you give me all the text I need to put, I will prepare it, print it, and see how I can get it to you.”</w:t>
        <w:br/>
        <w:t>Such collusion fundamentally prevents the existence of a competitive process and, consequently, makes it impossible to fulfill the competitive objective inherent in procurement regulations.</w:t>
        <w:br/>
        <w:t>It can therefore be concluded that the three analyzed behaviors have an essentially anti-competitive purpose and against the general interest as they allow the entities to know that they will be the only real bidders, which eliminates the incentive for improvement in prices and quality.</w:t>
        <w:br/>
        <w:t>Therefore, this Chamber concludes that we are faced with three infringements by object. Preparing a knowingly losing bid in a tender has no economic rationale as it makes no sense to deliberately lose a competition in a business area where the operator is active. The objective of the three behaviors is undoubtedly the market sharing while maintaining an anti-competitive price (higher) than would prevail in a competitive situation and generating a lack of competitive tension that also eliminates the incentive for improvement in the quality of the bids submitted.</w:t>
        <w:br/>
        <w:t>What precedes allows this Chamber to conclude that the established facts prove the existence of three infringements of Article 1 of the LDC, each consisting of an agreement that, by its very nature, has restricted competition in the market affected by the conduct. Therefore, the three behaviors must be classified as infringements by object.</w:t>
      </w:r>
    </w:p>
    <w:p>
      <w:r>
        <w:rPr>
          <w:b/>
        </w:rPr>
        <w:t>[Pages 31–33]</w:t>
      </w:r>
    </w:p>
    <w:p>
      <w:r>
        <w:t xml:space="preserve">c. Qualification of the infringements as unique or unique and continued  </w:t>
        <w:br/>
        <w:t xml:space="preserve">The agreement between PANDORA and ALACAJA constitutes a specific infringement consisting of a bilateral agreement related to a tender.  </w:t>
        <w:br/>
        <w:t xml:space="preserve">However, the agreements between BIBLIODOC and LIBNOVA and between BIBLIODOC and PANDORA are repeated over time, and therefore, it must be analyzed whether the requirements are met to qualify them as two unique and continued infringements.  </w:t>
        <w:br/>
        <w:t xml:space="preserve">It has been established that the companies BIBLIODOC and LIBNOVA participated for 4 consecutive years, from 2016 to 2019, in the described agreement.  </w:t>
        <w:br/>
        <w:t xml:space="preserve">BIBLIODOC and PANDORA did so for 2 consecutive years, in 2018 and 2019.  </w:t>
        <w:br/>
        <w:t xml:space="preserve">It is established case law that the infringement of Article 1 of the LDC can result not only from an isolated act but also from a series of acts or even from continued behavior, even when one or several elements of that series of acts or the continued behavior may also constitute an infringement of these provisions by themselves and in isolation.  </w:t>
        <w:br/>
        <w:t xml:space="preserve">The courts have provided a series of criteria that help qualify a practice as unique and continued, namely:  </w:t>
        <w:br/>
        <w:t xml:space="preserve">i) The identity existing in various elements of the different acts that comprise the behavior to be considered unique: Among such elements of identity is the geographical scope of the practices considered, the affected products and services; the forms of execution, and the participating companies (the identity of the individuals acting on behalf of the involved companies may also be taken into account).  </w:t>
        <w:br/>
        <w:t xml:space="preserve">ii) Proximity in time of the acts that comprise the behavior (without significant time gaps that prevent deducing the existence of a unique behavior).  </w:t>
        <w:br/>
        <w:t xml:space="preserve">iii) The existence of a global plan pursuing a common objective.  </w:t>
        <w:br/>
        <w:t xml:space="preserve">iv) The intentional contribution of the company to that plan.  </w:t>
        <w:br/>
        <w:t xml:space="preserve">v) The demonstrated or presumed knowledge of the infringing behaviors by the participants.  </w:t>
        <w:br/>
        <w:t xml:space="preserve">Regarding the identity of the different acts that comprise the behavior, first, the repeated participation of the same companies has been established: BIBLIODOC and LIBNOVA, on one hand, and BIBLIODOC and PANDORA, on the other.  </w:t>
        <w:br/>
        <w:t xml:space="preserve">Secondly, in both infringements, it has been observed that the affected services were exactly the same. In all cases, it involves the contracting of library services and management of archives and documents directed at public entities, called through tender procedures, whether negotiated or minor contracts, in the case of the infringement established between BIBLIODOC and PANDORA, or minor contracts and open procedures in the infringement between BIBLIODOC and LIBNOVA.  </w:t>
        <w:br/>
        <w:t xml:space="preserve">Thirdly, there has also been observed an identity in the form of execution. In the infringement between BIBLIODOC and LIBNOVA, it has been established that the requesting company contacted the other company requiring the conformity of its participation and indicating, in case participation was confirmed, the price to be set in the offer and even, on occasions, the content of this.  </w:t>
        <w:br/>
        <w:t xml:space="preserve">Similarly, for the infringement between BIBLIODOC and PANDORA, BIBLIODOC requested PANDORA's conformity of participation after which it expressly indicated either the price to be set when it was a minor contract or a proposed percentage in which they would participate in the tender, in those cases where the contracts were tendered through an open procedure.  </w:t>
        <w:br/>
        <w:t xml:space="preserve">Finally, the proven facts indicate that the communications to carry out the coverages between the companies always take place between the same individuals, thus showing an identity in the individuals involved in the terms contemplated by the jurisprudence. In the case of BIBLIODOC and LIBNOVA, the relationships occur between the sole administrator and the commercial director, respectively, while for the case of BIBLIODOC and PANDORA, it is their sole administrators who articulate and execute the coverages.  </w:t>
        <w:br/>
        <w:t xml:space="preserve">Regarding the proximity in time of the elements that comprise the behavior, the established facts allow verifying how the analyzed behaviors are carried out by acts that occur continuously during all the years in which each of the infringements is considered established.  </w:t>
        <w:br/>
        <w:t xml:space="preserve">There are no significant time gaps globally that allow considering a break in the continuity of the infringements.  </w:t>
        <w:br/>
        <w:t xml:space="preserve">As for the analysis of the existence of a global plan pursuing a common objective, the Supreme Court has confirmed and reiterated that the set and repetition of coverage practices in the field of tender procedures over a long period of time demonstrates that "the actions responded to the same premeditated plan to restrict or eliminate competition in the field of the tenders in question and obeyed the identical objective of distorting competition. It is, therefore, a continued behavior, a legal unit formed by several acts of coordination that are contrary to competition and are repeated over time with the purpose of distorting competition in the tender market, and all this allows qualifying the behavior as a continued infringement."  </w:t>
        <w:br/>
        <w:t>In the analyzed infringements, all the acts carried out in each of the infringements respond to a global plan in which the companies participate, aimed at altering the competitive functioning of the public contracts of the affected administrations. All the acts that have served for the imputation of the companies aim at the common objective of obtaining the award of the contracts while avoiding competition. In this way, the companies participating in the behaviors manage to eliminate the competitive tension with the consequent impact on prices and the quality of the offers. That is to say, all the practices carried out have the common objective of maximizing the benefit of the participating companies in each of the behaviors against the general interest that would arise from effective competition among them.</w:t>
      </w:r>
    </w:p>
    <w:p>
      <w:r>
        <w:rPr>
          <w:b/>
        </w:rPr>
        <w:t>[Pages 34–36]</w:t>
      </w:r>
    </w:p>
    <w:p>
      <w:r>
        <w:t>Thus, it is observed that there is a reiteration of actions between BIBLIODOC and LIBNOVA, both acting as the requesting company and as the requested company. To materialize the practices, these companies only needed to confirm participation in the tender, which was sometimes assumed, and the requesting company would send the price to be indicated in the offer.</w:t>
      </w:r>
    </w:p>
    <w:p>
      <w:r>
        <w:t>This allows us to conclude that there was coordination to assist each other, the objective of which was to try to secure the tender by reducing competition through the submission of fictitious offers and attempting to maintain high prices and obtain a profit based on tenders in which competition has been altered to their benefit. In fact, it has been established that in 4 of the 7 collaborations between BIBLIODOC and LIBNOVA, the contracts were awarded to the requesting company of the coverages, as shown in Table 4.</w:t>
      </w:r>
    </w:p>
    <w:p>
      <w:r>
        <w:t>Similarly, regarding the conduct between BIBLIODOC and PANDORA, it has been established that the only possible objective that the entities could pursue is to try to secure the contracts, thus obtaining a profit based on procedures in which competition has been distorted in their favor. The existing evidence shows the existence of a common understanding among all the companies involved in each infringement, such that the requesting company assumed, without margin for error, that the requested company would not compete with them in that tender. It is assumed that the agreements were part of a system based on reciprocity and the trust of all members of the concertation.</w:t>
      </w:r>
    </w:p>
    <w:p>
      <w:r>
        <w:t>In either of the two infringements, the companies are aware that competitive participation is not taking place in the tenders in which they participate, but rather participation with the submission of fictitious offers.</w:t>
      </w:r>
    </w:p>
    <w:p>
      <w:r>
        <w:t>In all cases, given the reiteration of the practice, the simplicity of the contracts (with the exception of the open procedure tender) or both at the same time, it was not necessary to have a formal agreement or to meet; it was sufficient to send an email with the relevant indications and to send the invitation from the contracting entity.</w:t>
      </w:r>
    </w:p>
    <w:p>
      <w:r>
        <w:t>What precedes allows us to conclude that the infringements committed by BIBLIODOC and LIBNOVA and by BIBLIODOC and PANDORA must be classified as unique and continuous.</w:t>
      </w:r>
    </w:p>
    <w:p>
      <w:r>
        <w:t xml:space="preserve">d. Existence of a cartel </w:t>
        <w:br/>
        <w:t>The agreements examined, consisting of offering fictitious coverages within the framework of public tenders, are behaviors that are expressly included in the aforementioned definition of a cartel. The emails exchanged between the companies clearly show the existence of agreements among competitors aimed at altering the normal functioning of the affected public tenders in the three analyzed infringements. Therefore, they must be classified as cartels.</w:t>
      </w:r>
    </w:p>
    <w:p>
      <w:r>
        <w:t>Although the secret nature is not a normative requirement for a behavior to be classified as a cartel, market-sharing agreements, by their very nature, tend to operate within greater opacity, destroying any possible trace so that they are not known by the competition authorities.</w:t>
      </w:r>
    </w:p>
    <w:p>
      <w:r>
        <w:t>In their written allegations to the PR, the companies BIBLIODOC and PANDORA have stated that the necessary elements for the practice to constitute a cartel are not present, alleging the absence of the secret nature of their behaviors. PANDORA indicates that the fact of not hiding their intentions to participate in the 2018 Ministry of Defense tender would contradict their cartel nature. They also state that their conduct could be justified by the existence of a subcontracting agreement between both companies to participate in that tender.</w:t>
      </w:r>
    </w:p>
    <w:p>
      <w:r>
        <w:t>BIBLIODOC indicates that at no time did it try to hide its intention to subcontract part of the services to PANDORA nor, conversely, as both indicated the percentage of subcontracting they would resort to in case they were awarded, also indicating who would be, in each case, the subcontractor. They state that these aspects were fully known by the contracting public administration.</w:t>
      </w:r>
    </w:p>
    <w:p>
      <w:r>
        <w:t>In this regard, it should be noted that, in this file, except for some exceptions, the contacts between the companies have been made with concealment, not only from the affected Administrations but also from the market.</w:t>
      </w:r>
    </w:p>
    <w:p>
      <w:r>
        <w:t>The parties' allegation regarding the knowledge of a subcontracting in the open procedure of the Ministry of Defense in 2018 does not serve to invalidate the conclusions of this section. First, because the secret nature that is traditionally attributed to this type of practice does not refer to the fact of subcontracting but to the illegal practice, that is, to the fact that the two companies conspired to submit an offer whose sole objective was to give the appearance of competition in the process in which they participated. Second, because what is relevant for the classification of a cartel is the very alteration of the competitive process that has been established in this file through the emails included in the proven facts. A subcontracting analyzed in isolation in a specific contract could not serve to conclude that there is a concertation between the companies and have a business or efficiency logic. It is the confluence of all the elements derived from the exchange of information between the companies that allows us to conclude that the conduct carried out by the companies had the illicit objective of altering the normal functioning of competition in the competitive process. For this reason, the behaviors must be classified as a cartel.</w:t>
      </w:r>
    </w:p>
    <w:p>
      <w:r>
        <w:t>In any case, the fact that the offers submitted by the companies were exactly the same, both in technical content and economic value, the low and the percentage of subcontracting, could only be explained by the existence of a prior agreement to ensure the outcome of the tender. In fact, in their allegations to the PR, they state that “regardless of what the winning offer of the contract was, the amount that each company would receive when subcontracted was predetermined.” From this, it can be inferred that what was really at stake was to ensure both companies an identical profit regardless of who was awarded the tender, which is only possible through prior manipulation of the offers, and ultimately constitutes the essential element around which the mechanism of the coverage offers that form a cartel is articulated.</w:t>
      </w:r>
    </w:p>
    <w:p>
      <w:r>
        <w:t xml:space="preserve">e. Conclusion </w:t>
        <w:br/>
        <w:t>According to the previous assessment, it must be concluded that the companies BIBLIODOC and LIBNOVA have participated in an infringement of Article 1 of the LDC, constituting a cartel, during the years 2016 to 2019; the companies BIBLIODOC and PANDORA have participated in an infringement of Article 1 of the LDC, constituting a cartel, during the years 2018 and 2019, and the companies ALACAJA and PANDORA have participated in a bilateral agreement constituting a cartel in 2018.</w:t>
      </w:r>
    </w:p>
    <w:p>
      <w:r>
        <w:rPr>
          <w:b/>
        </w:rPr>
        <w:t>[Pages 37–39]</w:t>
      </w:r>
    </w:p>
    <w:p>
      <w:r>
        <w:t>In the three cases, these are classified as very serious infractions according to the provisions of Article 62.4 of the LDC: “The development of collusive behaviors typified in Article 1 of the Law that consist of cartels or other agreements, decisions or collective recommendations, concerted practices or consciously parallel practices among competing companies, whether real or potential.” The individual responsibility of each company will be analyzed in the fourth section of this foundation.</w:t>
      </w:r>
    </w:p>
    <w:p>
      <w:r>
        <w:t>B. Illegality and legitimate trust</w:t>
      </w:r>
    </w:p>
    <w:p>
      <w:r>
        <w:t>For a typical conduct to be sanctionable, it must also be considered illegal. The illegality of typical behavior is defined as the realization of the type not covered by justification causes. Any typical behavior will be illegal unless it is authorized by a justification cause contained in the sanctioning legal framework.</w:t>
      </w:r>
    </w:p>
    <w:p>
      <w:r>
        <w:t>The companies PANDORA and BIBLIODOC have claimed that the public Administration has played a fundamental role in the practices, so it can be understood that they believe the Administration would have generated legitimate trust regarding the legality of their conduct. Specifically, PANDORA argues that, in the bidding related to the minor contract of the General Captaincy of Burgos, in October 2018 (proven fact 14), it was the Administration itself that requested the submission of several offers, indicating that, had it not been for this, PANDORA would not have agreed to exchange information or to make cover offers.</w:t>
      </w:r>
    </w:p>
    <w:p>
      <w:r>
        <w:t>For its part, BIBLIODOC considers that the regulations did not require the request for additional offers, as they pertain to minor contracts, and that in most cases the intention of the public Administration was to award the contract directly to it, so, in its opinion, there would have been no detriment to competition except by the Administration itself. Thus, the company bases its claim on the fact that the conduct attributed to it stems from a request from the public Administrations regarding contacts with other entrepreneurs, indicating that this would have been the case for the INIA contracts in 2016 (proven fact 1) and the Ministry of Development in 2018 (proven fact 9).</w:t>
      </w:r>
    </w:p>
    <w:p>
      <w:r>
        <w:t>Regarding the eventual impact of the behavior of the public Administration in the contracting procedures, it is worth remembering that there is no legal support in public procurement or competition regulations that allows for the practices attributed to the companies. No interpretation of the provisions of public procurement regulations allows or endorses invited companies to agree on the price to be offered.</w:t>
      </w:r>
    </w:p>
    <w:p>
      <w:r>
        <w:t>The principle of legitimate trust has constitutional support in our legal system both in Article 9 and in Article 103, which encompass the principles of predictability in its actions and legal certainty that inspire the actions of the Public Administration. Jurisprudence has confirmed that this principle must be interpreted restrictively in those cases where there is evidence of external signs from the Administration that are sufficiently conclusive to reasonably induce companies to trust in the legality of their actions, with any type of psychological conviction on the part of the individual beneficiary not being sufficient.</w:t>
      </w:r>
    </w:p>
    <w:p>
      <w:r>
        <w:t>The requirements that must be met to consider that the principle of legitimate trust applies can be summarized as follows:</w:t>
        <w:br/>
        <w:t>i) That we are faced with an act of the Administration that generates in the affected party the trust that the Administration is acting correctly; that the behavior of the citizen is also correct and that their expectations are reasonable.</w:t>
        <w:br/>
        <w:t>ii) That the Administration generates external signs that guide the citizen towards a certain conduct. Such signs must be “sufficiently conclusive” to reasonably induce them to trust in the legality of the administrative action.</w:t>
        <w:br/>
        <w:t>iii) That there is a suitable cause to provoke the legitimate trust of the affected party that cannot be generated by negligence, ignorance, or tolerance of the Administration.</w:t>
        <w:br/>
        <w:t>iv) That the interested party has fulfilled the rights and obligations that pertain to them.</w:t>
      </w:r>
    </w:p>
    <w:p>
      <w:r>
        <w:t>v) That the breach of the trust thus generated causes the affected party damages that they should not have to bear.</w:t>
        <w:br/>
        <w:t>vi) That it occurs under the principle of legality and within respect for imperative regulations.</w:t>
      </w:r>
    </w:p>
    <w:p>
      <w:r>
        <w:t>In none of the proven facts in this resolution can it be considered that the public Administration has made sufficiently conclusive external signs that induce companies to consider that their actions were lawful. The wording of the contracting regulations is clear regarding the requirements for the submission of three offers and regarding the necessarily independent nature that they must have. The Administration must ensure that this requirement is met in order not to distort the reason for the requirement of competition in the competitive process, but in any case, the requirement for the submission of independent offers is applicable to the companies.</w:t>
      </w:r>
    </w:p>
    <w:p>
      <w:r>
        <w:t>The alteration of the competitive process by eliminating competitive tension for one's own benefit and against the general interest cannot fall within the principle of legitimate trust.</w:t>
      </w:r>
    </w:p>
    <w:p>
      <w:r>
        <w:t>It is also not appropriate to consider that the Administration is generating external signs that guide companies towards a certain conduct. Considering the clear regulatory requirements whose purpose is precisely to preserve the competitive process, it cannot be understood that, in this case, the alleged actions of personnel from the bidding administration could lead companies to trust in the legality of an action that is openly contrary to the wording of December 18, 2007, rec. 1634/2005, in matters of competition law, holds that the principle of legality must prevail over the principle of legitimate trust.</w:t>
      </w:r>
    </w:p>
    <w:p>
      <w:r>
        <w:t>This prevalence of the principle of legality is also maintained by the Supreme Court in its ruling of February 3, 2009, when it states that the actions of the companies carried out under the passivity of the administration “do not generate legitimate trust for the purposes that concern us, as they are not competent to determine which practices are contrary to free competition.”</w:t>
      </w:r>
    </w:p>
    <w:p>
      <w:r>
        <w:rPr>
          <w:b/>
        </w:rPr>
        <w:t>[Pages 40–42]</w:t>
      </w:r>
    </w:p>
    <w:p>
      <w:r>
        <w:t>and spirit of the regulation and that only favors the economic interest of the bidder.</w:t>
      </w:r>
    </w:p>
    <w:p>
      <w:r>
        <w:t>Therefore, it cannot be understood that an inadequate action by the contracting authority could lead companies to trust in the legality of an action that is openly contrary to the wording and spirit of the regulation and that only favors the economic interest of the bidder. There would also be no obligation to have submitted an offer if the project was not of interest. For this reason, PANDORA's allegation that it would not have agreed to exchange information or to make cover offers had it not been at the request of the Administration, or even the fact, alleged by BIBLIODOC, that a direct award could be made and, despite this, additional offers were requested, could not constitute sufficient justification to grant any of the implicated companies a legitimate hope of the need to collude by agreeing on the price to be presented in the offer requested from a competitor.</w:t>
      </w:r>
    </w:p>
    <w:p>
      <w:r>
        <w:t>It cannot be understood that there is an adequate cause that could provoke legitimate trust in companies that alter the competitive functioning of contracts to achieve the award to one of them. On the contrary, it must be understood that any diligent operator, who also has the Public Administrations as their main client, as is the case here given the nature of the services concerned, should know not only the illegal nature of the practices from the perspective of the LDC but also from the public procurement regulations, which they should know in depth. In this sense, BIBLIODOC could not defend this adequate cause regarding those contracts that the Administration awards directly, particularly the one tendered by INIA, which are exempt from the requirement to submit more than one offer. The very fact that the Administration requested additional offers only highlights its intention to generate competition in the market even in the absence of a legal obligation to request more than one offer.</w:t>
      </w:r>
    </w:p>
    <w:p>
      <w:r>
        <w:t>None of the companies that participated in the infringements have complied with the rights and obligations that pertain to them, as such obligations would imply the submission of independent offers, which is perfectly incompatible with participation in the three behaviors that constitute each of the infringements.</w:t>
      </w:r>
    </w:p>
    <w:p>
      <w:r>
        <w:t>The behaviors carried out are prohibited by two imperative norms, the law on public sector contracts and competition regulations, which protect the competitive process due to the advantages derived from it in terms of price, variety, and quality of offers.</w:t>
      </w:r>
    </w:p>
    <w:p>
      <w:r>
        <w:t>For all the above reasons, this Chamber considers that the behaviors are not only typical but also unlawful and does not appreciate the exemption claimed by the companies.</w:t>
      </w:r>
    </w:p>
    <w:p>
      <w:r>
        <w:t>C. Guilt and Individualization</w:t>
      </w:r>
    </w:p>
    <w:p>
      <w:r>
        <w:t>In the field of Spanish administrative sanctioning law, objective liability for the commission of an infringement is not applicable, and the volitional element is essential. This means that the imposition of the sanction requires that the typical and unlawful conduct be attributable, at least by way of fault, to the author.</w:t>
      </w:r>
    </w:p>
    <w:p>
      <w:r>
        <w:t>Therefore, Article 63.1 of the LDC conditions the exercise of the sanctioning power by the competition authority on the presence of intent or negligence in the infringing subject in the commission of the conduct attributed.</w:t>
      </w:r>
    </w:p>
    <w:p>
      <w:r>
        <w:t>In this regard, the Supreme Court has established that guilt in the application of the LDC must take into account the logical particularities implied by the concept of legal person:</w:t>
      </w:r>
    </w:p>
    <w:p>
      <w:r>
        <w:t>“In the case of administrative infringements committed by legal persons, the subjective element of guilt is not eliminated, but it must be applied differently than it is for natural persons. […] this different construction of the attribution of authorship of the infringement to the legal person arises from the very nature of the legal fiction that legal persons respond to. They lack the volitional element in the strict sense but not the capacity to infringe the rules to which they are subject. […] this principle [of guilt] must necessarily be applied differently than it is for natural persons […]”.</w:t>
      </w:r>
    </w:p>
    <w:p>
      <w:r>
        <w:t>This Chamber considers that it has been proven that the companies responsible for the infringements knew and were aware of the unlawfulness of the behaviors carried out.</w:t>
      </w:r>
    </w:p>
    <w:p>
      <w:r>
        <w:t>The implicated companies did not behave as independent actors and coordinated their actions with the aim of manipulating the tenders in the library, archive management, and document services called by a variety of public administrations. In doing so, they overlooked an action that should have been determined freely by those companies in the exercise of their business autonomy. The submission of cover offers allowed the participating companies in the behaviors to maintain an appearance of competition in the competitive processes. Therefore, it has been proven that the companies are aware that competitive participation is not taking place in the tenders in which they participate, but rather that it involves participation with the submission of fictitious offers.</w:t>
      </w:r>
    </w:p>
    <w:p>
      <w:r>
        <w:t>For this reason, this Chamber considers that the requirements of intent of the entities involved, as required by Article 63.1 of the LDC, are met, without prejudice to the fact that the lesser degree of involvement of some companies in the behaviors will be taken into account when determining their individual responsibilities and sanctions.</w:t>
      </w:r>
    </w:p>
    <w:p>
      <w:r>
        <w:t>This Chamber considers the participation of the implicated companies in the written practices to be proven, according to the following individualized determination.</w:t>
      </w:r>
    </w:p>
    <w:p>
      <w:r>
        <w:t>a. BIBLIODOC SERVICIOS DOCUMENTALES, S.L.</w:t>
      </w:r>
    </w:p>
    <w:p>
      <w:r>
        <w:t>This company has been deemed responsible for two unique and continuous infringements constituting a cartel.</w:t>
      </w:r>
    </w:p>
    <w:p>
      <w:r>
        <w:t>In particular, its participation in a unique and continuous infringement with LIBNOVA has been proven, in the market for the provision of library services, archive management, and documents awarded through minor contracts and a negotiated procedure, from February 2016 to June 2019 (facts 1, 2, 3, 4, 6, 9, and 10).</w:t>
      </w:r>
    </w:p>
    <w:p>
      <w:r>
        <w:t>Likewise, its participation in a unique and continuous infringement with PANDORA has been proven, in the market for the provision of library services, archive management, and documents awarded through an open procedure and a minor contract, from October 2018 to June 2019 (facts 11 and 12).</w:t>
      </w:r>
    </w:p>
    <w:p>
      <w:r>
        <w:t>b. LIBNOVA, S.L.</w:t>
      </w:r>
    </w:p>
    <w:p>
      <w:r>
        <w:t>This company has been deemed responsible for a unique and continuous infringement constituting a cartel with BIBLIODOC, in the market for the provision of library services, archive management, and documents awarded through minor contracts and a negotiated procedure, from February 2016 to June 2019 (facts 1, 2, 3, 4, 6, 9, and 10).</w:t>
      </w:r>
    </w:p>
    <w:p>
      <w:r>
        <w:t>c. PANDORA GESTIÓN DOCUMENTAL, S.L.</w:t>
      </w:r>
    </w:p>
    <w:p>
      <w:r>
        <w:t>This company has been deemed responsible for a unique and continuous infringement constituting a cartel and for an infringement consisting of a bilateral agreement constituting a cartel.</w:t>
      </w:r>
    </w:p>
    <w:p>
      <w:r>
        <w:rPr>
          <w:b/>
        </w:rPr>
        <w:t>[Pages 43–45]</w:t>
      </w:r>
    </w:p>
    <w:p>
      <w:r>
        <w:t>Specifically, their participation in a single and continuous infringement constitutive with BIBLIODOC has been established, in the market for the provision of library services, management of archives and documents awarded through an open procedure and a minor contract, from October 2018 to June 2019 (facts 11 and 12).</w:t>
      </w:r>
    </w:p>
    <w:p>
      <w:r>
        <w:t>Likewise, their participation in a bilateral agreement with Ms. Salomé Lendínez Ramírez (ALACAJA) in the market for the provision of library services, management of archives and documents awarded through a minor contract, in October 2018 has been established (fact 14).</w:t>
      </w:r>
    </w:p>
    <w:p>
      <w:r>
        <w:t>d. Ms. Salomé Lendínez Ramírez</w:t>
      </w:r>
    </w:p>
    <w:p>
      <w:r>
        <w:t>Ms. Lendínez (self-employed under the trade name ALACAJA) is responsible for an infringement consisting of a bilateral agreement constitutive of a cartel, with PANDORA, in the market for the provision of library services, management of archives and documents awarded through a minor contract, in October 2018 (fact 14).</w:t>
      </w:r>
    </w:p>
    <w:p>
      <w:r>
        <w:t>D. The effects derived from the behaviors</w:t>
      </w:r>
    </w:p>
    <w:p>
      <w:r>
        <w:t>The qualification of the behaviors as an infringement by object implies that it is not essential to analyze the effects that they may have caused in the affected markets.</w:t>
      </w:r>
    </w:p>
    <w:p>
      <w:r>
        <w:t>However, the analysis of the effects is relevant in order to assess the seriousness of the conduct and, consequently, weigh the amount of the sanctions. In the present file, the characteristics of the behaviors and their duration allow for the appreciation of effects in the affected market.</w:t>
      </w:r>
    </w:p>
    <w:p>
      <w:r>
        <w:t>The companies have claimed that the conducted behaviors did not affect competition. Specifically, PANDORA highlights the low economic impact of the contracts in which it has participated, while BIBLIODOC indicates that, for the various tenders in which its participation is accredited, any restrictive effect on competition should be excluded, either because the Administration could perfectly have awarded the contract directly to BIBLIODOC without requesting other offers, in the case of the INIA tender in 2016, or because only the two companies that had mutually subcontracted presented offers, in the case of the tender procedure of the Ministry of Defense in 2018.</w:t>
      </w:r>
    </w:p>
    <w:p>
      <w:r>
        <w:t>As this Chamber has been arguing, the absence of the required competition in a contract leads to higher prices to be paid by the contracting authority since the certainty of which company will be awarded eliminates the inherent incentive for improvement that competition provides.</w:t>
      </w:r>
    </w:p>
    <w:p>
      <w:r>
        <w:t>In fact, the increase in the costs of the services tendered for the contracting Administrations arises from both the artificial decrease in the number of independent offers received and the submission of offers with discounts lower than those that would result from a situation of greater competition in such tenders. In particular, the high certainty of being awarded the contract has led companies to choose to offer lower discounts than they would have been willing to present had they expected greater competition from other companies. In this sense, the damage resulting from the proven behaviors is twofold, as it translates into greater public expenditure that ultimately falls on the taxpayer.</w:t>
      </w:r>
    </w:p>
    <w:p>
      <w:r>
        <w:t>As the Competition Authority has had the opportunity to point out, “(t)he arguments put forward by some companies that this type of collusion does not significantly affect consumers or that in its absence the result would have been the same are unacceptable. Few infringements can harm so much and to such a broad base. By implying a higher cost of the tender and, with it, a greater budget charge, it is affecting nothing less than all taxpayers.”</w:t>
      </w:r>
    </w:p>
    <w:p>
      <w:r>
        <w:t>The National Court has adopted that same reproach by stating that “(r)egarding proportionality, we must consider the significant impact on the public interest, the concertation we are examining altered the prices of tenders charged to public funds [...]. On the other hand, the conduct evaded the administrative rules that guarantee transparency in public procurement and the correctness in the selection of the most advantageous offer, and directly tended to prevent its application.”</w:t>
      </w:r>
    </w:p>
    <w:p>
      <w:r>
        <w:t>It has been established that the companies have agreed on offers of prices higher than those that would have resulted in a scenario of free competition, with examples such as the email from LIBNOVA to BIBLIODOC contained in fact 4 regarding a contract tendered by the Museo Centro de Arte Reina Sofía, in which a losing economic offer of 59,900 euros (excluding VAT) is attached, resulting in the awarding of the contract to the company sending the email for an amount of 59,820 euros (excluding VAT).</w:t>
      </w:r>
    </w:p>
    <w:p>
      <w:r>
        <w:t>Similarly, in the emails contained in fact 14 regarding a contract from the Instituto Militar Noroeste, PANDORA gives the following indications: “I tell you my offer and you put yours a little higher as before” (folios 978 and 979); responding ALACAJA that: “I have lowered a bit although it is very tight” (folio 977).</w:t>
      </w:r>
    </w:p>
    <w:p>
      <w:r>
        <w:t>But the anticompetitive effects of cover bids in the context of public tenders are not limited to the setting of an anticompetitive price in a single tender, but go beyond that.</w:t>
      </w:r>
    </w:p>
    <w:p>
      <w:r>
        <w:t>The coordination of the participants in the tender through cover bids provides a misleading view of competition in the market, so that the bidding Administrations will lose references adjusted to the prices of the services they request and will normally tend to reproduce the same tender scheme, with similar prices, and even with the same companies, in future tenders, without necessarily being adjusted to the market. This also harms the general interest.</w:t>
      </w:r>
    </w:p>
    <w:p>
      <w:r>
        <w:t>It has been established that the behaviors subject to this file not only had the capacity to produce effects, but in fact produced them, as it should be remembered that in all tenders there were requests for offers indicating the price that should be included in them, confirming in at least four of them the result of the execution of the agreements through the responses of the Public Administrations to the information requests (facts 1, 4, 9, and 12). Thus, the uncertainty among the accused companies when establishing their commercial strategy has been eliminated, allowing them to adapt their commercial behavior, with the consequent direct harm to their clients.</w:t>
      </w:r>
    </w:p>
    <w:p>
      <w:r>
        <w:t>In response to the allegations of BIBLIODOC and PANDORA regarding the absence of effects of the conduct, this Chamber must reiterate, in relation to the INIA tender in 2016, the fact that the public Administration requested additional offers from other companies when the contractual regulations allow for direct awarding only confirms the Administration's intention to pursue a competitive process and that the manipulation of the offer, by preventing it, did have effects in the market. Likewise, regarding the tender of the Ministry of Defense in 2018, the fact that only the two companies that had mutually subcontracted submitted offers would be irrelevant to the effects of the conduct, since at least one of the</w:t>
      </w:r>
    </w:p>
    <w:p>
      <w:r>
        <w:rPr>
          <w:b/>
        </w:rPr>
        <w:t>[Pages 46–48]</w:t>
      </w:r>
    </w:p>
    <w:p>
      <w:r>
        <w:t>companies could have competed to win each tender. In fact, the companies appeared to compete by submitting two identical offers independently, which constitutes an additional element of evidence of collusion.</w:t>
      </w:r>
    </w:p>
    <w:p>
      <w:r>
        <w:t>In relation to this same tender, PANDORA claims that the agreement could be beneficial for competition by allowing the service to be provided under more favorable conditions. However, the company does not specify or can imagine any benefit that could arise from the submission of two identical offers in which the same companies participate with the same prices instead of competing in terms of service quality and offered price.</w:t>
      </w:r>
    </w:p>
    <w:p>
      <w:r>
        <w:t>As a result of all this, the companies effectively managed to configure competition conditions different from those that would result from a market scenario truly subjected to the pressures and uncertainties of competition.</w:t>
      </w:r>
    </w:p>
    <w:p>
      <w:r>
        <w:t>Consequently, the practices described, in addition to being restrictive by their object, had restrictive effects on competition in the national consulting market.</w:t>
      </w:r>
    </w:p>
    <w:p>
      <w:r>
        <w:t>E. The impossibility of applying the de minimis rule</w:t>
      </w:r>
    </w:p>
    <w:p>
      <w:r>
        <w:t>Both BIBLIODOC and PANDORA have argued that the behaviors attributed to them could be considered of minor importance, so that the reduced scale of the infringements would justify that they not be sanctioned, in application of the Communication regarding agreements of minor importance that do not significantly restrict competition in the sense of Article 101, paragraph 1, of the Treaty on the Functioning of the European Union (de minimis Communication).</w:t>
      </w:r>
    </w:p>
    <w:p>
      <w:r>
        <w:t>In response to these allegations, it should be recalled that Article 5 of the LDC states the following:</w:t>
      </w:r>
    </w:p>
    <w:p>
      <w:r>
        <w:t>“The prohibitions set out in Articles 1 to 3 of this Law shall not apply to those behaviors that, due to their minor importance, are not capable of significantly affecting competition. The criteria for delineating behaviors of minor importance shall be determined by regulation, taking into account, among others, the market share.”</w:t>
      </w:r>
    </w:p>
    <w:p>
      <w:r>
        <w:t>Developing this provision, Article 2.1.c) of the RDC establishes that behaviors among competitors that have as their object, among others, market sharing shall not be considered of minor importance. Therefore, the behaviors subject to this file, given their object, cannot be considered in any case as of minor or little importance, in terms similar to those provided in the de minimis Communication referenced by the companies.</w:t>
      </w:r>
    </w:p>
    <w:p>
      <w:r>
        <w:t>Consequently, since the accused companies adopted fictitious cover practices within the framework of tenders and such behaviors must be classified as a very serious infringement constituting a cartel, prohibited in Article 1 of the LDC, there is no possibility of applying the de minimis rule to these cases.</w:t>
      </w:r>
    </w:p>
    <w:p>
      <w:r>
        <w:t>F. Assessment of compliance programs</w:t>
      </w:r>
    </w:p>
    <w:p>
      <w:r>
        <w:t>This Chamber positively values, in general, all actions of companies aimed at internally promoting knowledge of competition rules and preventing and avoiding their possible non-compliance. Compliance with and respect for the objectives of the competition defense regulatory system seek to promote and defend effective competition among economic operators and must be taken into account in decision-making and in the corporate culture of any economic operator.</w:t>
      </w:r>
    </w:p>
    <w:p>
      <w:r>
        <w:t>The CNMC has deemed it appropriate to promote such initiatives and programs in companies, in line with similar actions by other competition authorities, and on June 10, 2020, published the “Guide to Compliance Programs in relation to competition rules” (Compliance Guide), as a mechanism to promote these policies in companies and contribute to this objective by providing transparency to the basic criteria that the CNMC considers relevant for a compliance program to be deemed effective.</w:t>
      </w:r>
    </w:p>
    <w:p>
      <w:r>
        <w:t>The CJEU has stated, among other things, in its judgment of July 18, 2013 (Case C-501/11 Schindler Holding and others/Commission) that the mere fact of introducing internal programs for compliance with competition rules by companies cannot in all cases imply a mitigation of the sanction imposed on the companies.</w:t>
      </w:r>
    </w:p>
    <w:p>
      <w:r>
        <w:t>For compliance programs to be truly effective, they must ensure, through the clear establishment of behavioral parameters and the implementation of organizational measures for their development, the existence of a genuine commitment to compliance that is reflected in the daily decision-making process, both of the individuals who, on behalf or representation of the company, participate in the activity, and of the entire workforce of the company, allowing them, from the scope of their own functions, to detect or prevent restrictive competition practices.</w:t>
      </w:r>
    </w:p>
    <w:p>
      <w:r>
        <w:t>In light of the opportunity to promote effective compliance programs that also encompass competition regulations, the Compliance Guide points out a series of incentives for those companies that establish in their compliance programs ex ante (prior to the authority's knowledge of the infringement) or appropriate reactive measures that are specified in the guide itself (active and effective collaboration during the procedure, acknowledgment of the facts, termination of the behaviors, adoption of remedies, etc.). Likewise, incentives are also pointed out, in their consideration as mitigating factors for the willingness to comply projected, for companies that express the intention to implement a compliance program ex post (after the authority's knowledge of the infringement) or to improve a previous one, and certify this at the appropriate time.</w:t>
      </w:r>
    </w:p>
    <w:p>
      <w:r>
        <w:t>In this file, the companies LIBNOVA and BIBLIODOC have claimed to have implemented compliance programs and consider that they meet the requirements for the application of the incentives set out in the CNMC guide.</w:t>
      </w:r>
    </w:p>
    <w:p>
      <w:r>
        <w:t>a. Description of the programs presented</w:t>
      </w:r>
    </w:p>
    <w:p>
      <w:r>
        <w:t>BIBLIODOC</w:t>
      </w:r>
    </w:p>
    <w:p>
      <w:r>
        <w:t>BIBLIODOC communicated the implementation of a compliance program on December 28, 2020, with accreditation of the start of training and a statement on the website disseminating the commitment to compliance. This first program was assessed as insufficient by the DC in the Proposal for Resolution, which pointed out the existence of a series of deficiencies that questioned its effectiveness. Subsequently, on May 11, 2021, the company submitted, along with its allegations to the PR, an updated compliance program stating that it includes all the necessary changes indicated by the DC. It claims that its modified compliance program aims to recognize those situations that may be affected by competition defense regulations, including a code of conduct and the organization of training courses on this matter, periodically.</w:t>
      </w:r>
    </w:p>
    <w:p>
      <w:r>
        <w:rPr>
          <w:b/>
        </w:rPr>
        <w:t>[Pages 49–51]</w:t>
      </w:r>
    </w:p>
    <w:p>
      <w:r>
        <w:t>destined for all employees who are directly involved in sales, marketing, and business partnerships. The program also includes a disciplinary regime, with principles, types of infractions, and possible sanctions, as well as the company bodies responsible for ensuring compliance with the contents of the program.</w:t>
      </w:r>
    </w:p>
    <w:p>
      <w:r>
        <w:t>In light of the above, BIBLIODOC believes that, in the event that the behaviors constitute an infringement in the area of competition law and a sanction is ultimately imposed, its compliance program should be taken into account, in its updated version, as a mitigating circumstance for the purposes of Article 64.3 LDC, and lead to the avoidance of the application of the prohibition on contracting under Article 72.5 of the LCSP.</w:t>
      </w:r>
    </w:p>
    <w:p>
      <w:r>
        <w:t>In its allegations, it commits to making the necessary changes and to submitting a declaration certifying the implementation and improvement of the compliance program presented, within a period not exceeding six months after the adoption of the resolution that concludes this procedure.</w:t>
      </w:r>
    </w:p>
    <w:p>
      <w:r>
        <w:t xml:space="preserve">LIBNOVA </w:t>
        <w:br/>
        <w:t>LIBNOVA submitted a compliance program proposal on March 16, 2021, which was evaluated by the DC in the Proposal for Resolution, where certain deficiencies in its content regarding disciplinary measures and incentives, reactive measures, and specific sanctions were also noted. Subsequently, on May 14, 2021, it submitted an updated compliance program indicating that these were included in accordance with the improvement recommendations from the DC. The company claims that the objective of this latest compliance program is to ensure the effectiveness of rules and control procedures that minimize the risk of unlawful behaviors in competition by its employees. It states in its allegations to the PR that this second compliance program has been implemented along with a declaration from the company on the website disseminating the commitment to compliance.</w:t>
      </w:r>
    </w:p>
    <w:p>
      <w:r>
        <w:t>Based on the above, LIBNOVA argues that the implementation of the compliance program, updated based on the considerations expressed in the PR, justifies the mitigation of any eventual sanction that may be imposed on the company, if applicable, and the exclusion from the prohibition on contracting in accordance with Article 72.5 of the LCSP.</w:t>
      </w:r>
    </w:p>
    <w:p>
      <w:r>
        <w:t xml:space="preserve">Assessment of the submitted programs </w:t>
        <w:br/>
        <w:t>After analyzing the compliance programs provided by the two companies and the actions that have been adopted as a result of them, this Chamber considers that neither of them is deserving of the incentives provided for in the aforementioned Compliance Guide.</w:t>
      </w:r>
    </w:p>
    <w:p>
      <w:r>
        <w:t>Indeed, and despite the fact that, in certain cases, the content of these programs may formally adjust to part of the recommended criteria in the CNMC Compliance Guide, neither of the accused companies includes in its compliance program the entirety of the mentioned criteria.</w:t>
      </w:r>
    </w:p>
    <w:p>
      <w:r>
        <w:t>In any case, although the companies have partially reflected their future compliance willingness in the reviewed programs they have submitted, the mere transfer by BIBLIODOC and LIBNOVA of the essential elements of their compliance programs cannot be sufficient, according to the aforementioned jurisprudence, to make them deserving of the incentives provided for in the Compliance Guide. Firstly, since the mere introduction of a program cannot be considered as a mitigating circumstance in itself, and neither BIBLIODOC nor LIBNOVA have alleged any reason that justifies such mitigation beyond the mere provision of their respective programs and the training measures and declarations on the website made so far, which, however, have not materialized in concrete actions related to this file.</w:t>
      </w:r>
    </w:p>
    <w:p>
      <w:r>
        <w:t>Regarding BIBLIODOC's program, moreover, deficiencies are observed in relation to its potential effectiveness. There is a lack of measures that guarantee the effectiveness of its implementation due to the lack of specificity of the collaboration measures with the Administration and actions in case it is the Administration that has detected such infringements, or the implementation of specific measures that allow for the guarantee of the special involvement and responsibility of the executives in that program. Likewise, the independence of the actions of the Compliance Officer or the Compliance Committee referred to is not considered guaranteed since it is formed by the same person as the Sole Administrator of the company and its general director, to whom the actions of the same must be reported and who is responsible for submitting the company's tenders. There has also been no appreciation of a proposal for disciplinary measures that can be considered a priori effective.</w:t>
      </w:r>
    </w:p>
    <w:p>
      <w:r>
        <w:t>The changes introduced by BIBLIODOC in its compliance program consist of the updating of specific controls on the monitoring of the program and the ethical code, highlighting the adoption of measures that allow for easy reporting of any suspicious actions and the granting of economic incentives to the employee reporting the facts. However, contrary to what the company claims, there is no observation of the inclusion of effective reactive measures regarding active and effective collaboration with the CNMC from the beginning of the investigation nor the acknowledgment of the established facts. Therefore, the update of BIBLIODOC's program introduces measures that do not fully contemplate those actions that, under the Compliance Guide, could be valued as a mitigating circumstance, as it does not fully reflect the existence of a commitment to compliance that is transferred to BIBLIODOC's decision-making process, being efficient to prevent and react to possible infringements.</w:t>
      </w:r>
    </w:p>
    <w:p>
      <w:r>
        <w:t>With respect to LIBNOVA's program, it is true that the company has presented an updated compliance program as a result of what was exposed in the PR, in order to minimize the risk of similar behaviors to those identified in this file occurring again.</w:t>
      </w:r>
    </w:p>
    <w:p>
      <w:r>
        <w:t>However, the company's program, as in the previous case, presents some deficiencies that prevent a full appreciation of its effectiveness. From the perspective of the reactive measures included in LIBNOVA's program, this Chamber does not observe the adoption of specific policies that could be considered fully effective in raising awareness and instilling within the company a strong culture of compliance with competition defense rules or that more specifically determine adequate collaboration in the instruction of the file. While the classification of disciplinary sanctions linked to each type of infringement for non-compliance with the program can be positively assessed, even leading to dismissal, the truth is that the company has not provided any examples of the reactive measures it has executed as a result of its indictment in this file.</w:t>
      </w:r>
    </w:p>
    <w:p>
      <w:r>
        <w:t>Furthermore, and without prejudice to the above, it should be noted that the Compliance Guide itself expressly indicates, regarding ex post compliance programs, or their improvements, that they must be presented to the...</w:t>
      </w:r>
    </w:p>
    <w:p>
      <w:r>
        <w:rPr>
          <w:b/>
        </w:rPr>
        <w:t>[Pages 52–54]</w:t>
      </w:r>
    </w:p>
    <w:p>
      <w:r>
        <w:t>DC as soon as possible and, in any case, before the notification of the proposed resolution. Therefore, the claims of both companies are dismissed.</w:t>
      </w:r>
    </w:p>
    <w:p>
      <w:r>
        <w:t xml:space="preserve">FIFTH. Determination of the Sanction  </w:t>
        <w:br/>
        <w:t xml:space="preserve">A. Determination of the sanction for the BIBLIODOC-LIBNOVA cartel  </w:t>
        <w:br/>
        <w:t xml:space="preserve">The existence of a very serious infringement has been declared (art. 62.4.a of the LDC) which may be sanctioned with a fine of up to 10% of the total turnover of the infringing companies in the financial year immediately preceding the imposition of the fine (art. 63.1.c), that is, 2020.  </w:t>
        <w:br/>
        <w:t xml:space="preserve">The turnover of the infringing companies for the year 2020 is as follows:  </w:t>
        <w:br/>
        <w:t xml:space="preserve">Table 5. Total turnover of the companies in 2020  </w:t>
        <w:br/>
        <w:t xml:space="preserve">Infringing entities Total turnover in 2020 (€)  </w:t>
        <w:br/>
        <w:t xml:space="preserve">BIBLIODOC 621,474  </w:t>
        <w:br/>
        <w:t>LIBNOVA 1,750,000</w:t>
      </w:r>
    </w:p>
    <w:p>
      <w:r>
        <w:t xml:space="preserve">The criteria by which sanctions are determined in our legal system must also respect the requirements of Article 64 of the LDC in its interpretation provided by the Spanish Supreme Court (see Article 5 of Regulation 1/03 when establishing the imposition of punitive fines provided for in national law).  </w:t>
        <w:br/>
        <w:t xml:space="preserve">Considering all these factors, the Chamber must rule on the sanction to be imposed, evaluating the criteria of the LDC in relation to the principles of efficiency, proportionality, and deterrence, and in accordance with the case law of the Supreme Court and the CJEU.  </w:t>
        <w:br/>
        <w:t xml:space="preserve">Regarding the characteristics of the affected market (art. 64.1.a), the infringement has occurred in the market for the provision of library services and management of archives and documents.  </w:t>
        <w:br/>
        <w:t xml:space="preserve">The joint market share of the participating companies, taking into account the information in the file, is small and, in any case, below 50% (art. 64.1.b).  </w:t>
        <w:br/>
        <w:t>The geographical market affected by the infringement is national (art. 64.1.c).</w:t>
      </w:r>
    </w:p>
    <w:p>
      <w:r>
        <w:t xml:space="preserve">The conduct has had the effect (art. 64.1.e) of eliminating competition in the affected bidding procedures, the award of the bid to the company that initially applied as a potential awardee and initiated the coverage request process, and the fictitious participation in those bids by the bidding companies, in a total of seven coverages (art. 64.1.e).  </w:t>
        <w:br/>
        <w:t xml:space="preserve">The overall duration of the conduct (art. 64.1.d) spans from February 2016 to June 2019.  </w:t>
        <w:br/>
        <w:t xml:space="preserve">The following table summarizes the individual duration and the turnover in the affected market (VNMA) during the infringement for each company:  </w:t>
        <w:br/>
        <w:t xml:space="preserve">Table 6. Duration and turnover in the affected market by the infringement  </w:t>
        <w:br/>
        <w:t xml:space="preserve">Turnover in the affected market  </w:t>
        <w:br/>
        <w:t xml:space="preserve">Infringing entities Duration of the conduct  </w:t>
        <w:br/>
        <w:t xml:space="preserve">(VNMA, €)  </w:t>
        <w:br/>
        <w:t xml:space="preserve">BIBLIODOC February 2016 – June 2019 3,199,478  </w:t>
        <w:br/>
        <w:t>LIBNOVA February 2016 – June 2019 716,428</w:t>
      </w:r>
    </w:p>
    <w:p>
      <w:r>
        <w:t xml:space="preserve">No aggravating or mitigating circumstances provided for in Articles 64.2 and 64.3 have been observed for any of the infringing entities.  </w:t>
        <w:br/>
        <w:t xml:space="preserve">The set of factors outlined above – severity of the infringement, characteristics and size of the affected market, duration, geographical scope of the conduct, participation of the infringers in the conduct – leads this Chamber to specify the total sanction type that corresponds to be applied to each infringing entity, considering their respective participation in it, as shown in the following table:  </w:t>
        <w:br/>
        <w:t xml:space="preserve">Table 7. Sanction type by company  </w:t>
        <w:br/>
        <w:t xml:space="preserve">Infringing entities Sanction type % Fine (€)  </w:t>
        <w:br/>
        <w:t xml:space="preserve">BIBLIODOC 5.5% 34,181  </w:t>
        <w:br/>
        <w:t>LIBNOVA 4.3% 75,250</w:t>
      </w:r>
    </w:p>
    <w:p>
      <w:r>
        <w:t>These sanction types are appropriate to the severity and characteristics of the companies' infringement. However, case law requires considering the dimension of the specific infringement as a necessary reference to ensure the proportionality and deterrence of the fines. Therefore, it is verified that the sanction imposed on each company according to the established sanction type is not disproportionate in relation to the effective dimension of their conduct.</w:t>
      </w:r>
    </w:p>
    <w:p>
      <w:r>
        <w:t xml:space="preserve">In this case, the fines to be imposed on BIBLIODOC and PANDORA based on the previously determined sanction types are proportionate, so no adjustment is necessary.  </w:t>
        <w:br/>
        <w:t xml:space="preserve">B. Determination of the sanction for the BIBLIODOC-PANDORA cartel  </w:t>
        <w:br/>
        <w:t xml:space="preserve">The existence of a very serious infringement has been declared (art. 62.4.a of the LDC) which may be sanctioned with a fine of up to 10% of the total turnover of the infringing companies in the financial year immediately preceding the imposition of the fine (art. 63.1.c), that is, 2020.  </w:t>
        <w:br/>
        <w:t xml:space="preserve">The turnover of the infringing companies for the year 2020 is as follows:  </w:t>
        <w:br/>
        <w:t xml:space="preserve">Table 8. Total turnover of the companies in 2020  </w:t>
        <w:br/>
        <w:t xml:space="preserve">Infringing entities Total turnover in 2020 (€)  </w:t>
        <w:br/>
        <w:t xml:space="preserve">BIBLIODOC 621,474  </w:t>
        <w:br/>
        <w:t>PANDORA 308,783</w:t>
      </w:r>
    </w:p>
    <w:p>
      <w:r>
        <w:t xml:space="preserve">Regarding the characteristics of the affected market (art. 64.1.a), the infringement has occurred in the market for the provision of library services and management of archives and documents.  </w:t>
        <w:br/>
        <w:t xml:space="preserve">The joint market share of the participating companies, taking into account the information in the file, is small and, in any case, below 50% (art. 64.1.b).  </w:t>
        <w:br/>
        <w:t>The geographical market affected by the infringement is national (art. 64.1.c).</w:t>
      </w:r>
    </w:p>
    <w:p>
      <w:r>
        <w:t xml:space="preserve">The conduct has had the effect (art. 64.1.e) of eliminating competition in the two affected bidding procedures, the award of the bid to the company that initially applied as a potential awardee and initiated the coverage request process, and the fictitious participation in those bids by the bidding companies for coverages.  </w:t>
        <w:br/>
        <w:t xml:space="preserve">The overall duration of the conduct (art. 64.1.d) spans from October 2018 to June 2019.  </w:t>
        <w:br/>
        <w:t>The following table summarizes the individual duration and the turnover in the affected market (VNMA) during the infringement for each company:</w:t>
      </w:r>
    </w:p>
    <w:p>
      <w:r>
        <w:rPr>
          <w:b/>
        </w:rPr>
        <w:t>[Pages 55–57]</w:t>
      </w:r>
    </w:p>
    <w:p>
      <w:r>
        <w:t>Table 9. Duration and volume of business in the market affected by the infringement</w:t>
        <w:br/>
        <w:t>Volume of business in the market</w:t>
        <w:br/>
        <w:t>Infringing entities Duration of the conduct</w:t>
        <w:br/>
        <w:t>affected (VNMA, €)</w:t>
        <w:br/>
        <w:t>BIBLIODOC October 2018 – June 2019 812,916</w:t>
        <w:br/>
        <w:t>PANDORA October 2018 – June 2019 286,123</w:t>
        <w:br/>
        <w:t>No aggravating or mitigating circumstances provided for in Articles 64.2 and 64.3 have been observed for any of the infringing entities. The set of factors outlined above – severity of the infringement, characteristics and size of the affected market, duration, geographical scope of the conduct, participation of the infringers in the conduct – leads this Chamber to specify the total sanctioning rate that corresponds to each infringing entity, considering their respective participation in it, as shown in the following table:</w:t>
        <w:br/>
        <w:t>Table 10. Sanctioning rate by company</w:t>
        <w:br/>
        <w:t>Infringing entities Sanctioning rate % Fine (€)</w:t>
        <w:br/>
        <w:t>BIBLIODOC 5% 31,073</w:t>
        <w:br/>
        <w:t>PANDORA 4% 12,351</w:t>
        <w:br/>
        <w:t>These sanctioning rates are appropriate to the severity and characteristics of the infringement of the companies. However, case law requires considering the dimension of the specific infringement as a necessary reference to ensure the proportionality and deterrence of the fines. Therefore, it is verified that the fine imposed on each company according to the established sanctioning rate is not disproportionate in relation to the effective dimension of their conduct. In this case, the fines to be imposed on BIBLIODOC and PANDORA based on the previously determined sanctioning rates are proportionate, so no adjustment is necessary.</w:t>
        <w:br/>
        <w:t>C. Determination of the sanction for the BIBLIODOC-ALACAJA cartel</w:t>
        <w:br/>
        <w:t>The existence of a very serious infringement has been declared (art. 62.4.a of the LDC) which may be sanctioned with a fine of up to 10% of the total business volume of the infringing companies in the fiscal year immediately preceding the imposition of the fine (art. 63.1.c), that is, 2020. The billing of the infringing companies for the year 2020 is as follows:</w:t>
        <w:br/>
        <w:t>Table 11. Total business volume of the companies in 2020</w:t>
        <w:br/>
        <w:t>Infringing entities Total business volume in 2020 (€)</w:t>
        <w:br/>
        <w:t>PANDORA 308,784</w:t>
        <w:br/>
        <w:t>SALOMÉ LENDÍNEZ RAMÍREZ (ALACAJA) 49,419</w:t>
        <w:br/>
        <w:t>Regarding the characteristics of the affected market (art. 64.1.a), the infringement has developed in the market for library services and management of archives and documents. The joint market share of the participating companies, taking into account the information in the file, is small and, in any case, below 50% (art. 64.1.b). The geographical market affected by the infringement is the national market (art. 64.1.c). The conduct has had the effect (art. 64.1.e) of eliminating competition in the affected bidding process, awarding the bid to the company that initially applied as a potential awardee and initiated the process of requesting coverage, and the fictitious participation in those bids of the companies offering coverage. The conduct took place in October 2018, affecting a single bid (art. 64.1.d). In the following table, the individual duration and volume of business in the affected market (VNMA) during the infringement for each company is recorded:</w:t>
        <w:br/>
        <w:t>Table 12. Duration and volume of business in the market affected by the infringement</w:t>
        <w:br/>
        <w:t>Volume of business in the market</w:t>
        <w:br/>
        <w:t>Infringing entities Duration of the conduct</w:t>
        <w:br/>
        <w:t>affected (VNMA, €)</w:t>
        <w:br/>
        <w:t>PANDORA October 2018 23,800</w:t>
        <w:br/>
        <w:t>SALOMÉ LENDÍNEZ</w:t>
        <w:br/>
        <w:t>October 2018 1,941</w:t>
        <w:br/>
        <w:t>RAMÍREZ (ALACAJA)</w:t>
        <w:br/>
        <w:t>No aggravating or mitigating circumstances provided for in Articles 64.2 and 64.3 have been observed for any of the infringing entities. The set of factors outlined above – severity of the infringement, characteristics and size of the affected market, duration, geographical scope of the conduct, participation of the infringers in the conduct – leads this Chamber to specify the total sanctioning rate that corresponds to each infringing entity, considering their respective participation in it, as shown in the following table:</w:t>
        <w:br/>
        <w:t>Table 13. Sanctioning rate by company</w:t>
        <w:br/>
        <w:t>Infringing entities Sanctioning rate % Fine (€)</w:t>
        <w:br/>
        <w:t>PANDORA 3.5% 10,807</w:t>
        <w:br/>
        <w:t>SALOMÉ LENDÍNEZ</w:t>
        <w:br/>
        <w:t>3% 1,482</w:t>
        <w:br/>
        <w:t>RAMÍREZ (ALACAJA)</w:t>
        <w:br/>
        <w:t>These sanctioning rates are appropriate to the severity and characteristics of the infringement of the companies. However, case law requires considering the dimension of the specific infringement as a necessary reference to ensure the proportionality and deterrence of the fines. Therefore, it is verified that the fine imposed on each company according to the established sanctioning rate is not disproportionate in relation to the effective dimension of their conduct. In the case of the two infringers, the fine in euros that would correspond to them when applying the previously determined sanctioning rate for each based on their total business volume in 2020 is considered disproportionate in light of their billing in the affected market during the infringement. Therefore, the following sufficiently deterrent sanctions adjusted to the principle of proportionality are imposed:</w:t>
        <w:br/>
        <w:t>Infringing entities Fine (€)</w:t>
        <w:br/>
        <w:t>PANDORA 8,000</w:t>
        <w:br/>
        <w:t>SALOMÉ LENDÍNEZ RAMÍREZ (ALACAJA) 1,000</w:t>
        <w:br/>
        <w:t>D. Response to the allegations regarding the proposed sanction</w:t>
        <w:br/>
        <w:t>BIBLIODOC and PANDORA argue that the obligation to motivate the sanctions has been violated, since according to these companies, the proposal for resolution only states that the sanctioning rates are appropriate to the severity and characteristics of the infringement committed, without explaining the elements that determine the severity of the conduct. LIBNOVA, in this same sense, argues that the criteria it takes into account to determine the amount of the fine have not been reasoned. Finally, the three companies argue that the principle of proportionality has been violated. BIBLIODOC and PANDORA also argue that the imposed sanctions represent an outlay for the companies that could lead to the declaration of bankruptcy and the cessation of their activity.</w:t>
      </w:r>
    </w:p>
    <w:p>
      <w:r>
        <w:rPr>
          <w:b/>
        </w:rPr>
        <w:t>[Pages 58–60]</w:t>
      </w:r>
    </w:p>
    <w:p>
      <w:r>
        <w:t>To respond to these allegations, the main elements questioned by the companies are grouped.</w:t>
      </w:r>
    </w:p>
    <w:p>
      <w:r>
        <w:t>Regarding the alleged lack of motivation in determining the sanction, it should be noted that the proposed resolution states the following:</w:t>
      </w:r>
    </w:p>
    <w:p>
      <w:r>
        <w:t xml:space="preserve">“(180) The sanctioning percentage, which will be applied in this case to the total turnover of each infringing entity, must be determined based on the grading criteria of Article 64.1 of the LDC, following the criteria of the case law of the Supreme Court mentioned in the previous section.  </w:t>
        <w:br/>
        <w:t xml:space="preserve">(181) Regarding the characteristics of the affected market (art. 64.1.a), the infringement has occurred in the market for library services and management of archives and documents.  </w:t>
        <w:br/>
        <w:t xml:space="preserve">(182) Regarding the market share of the responsible companies (art. 64.1.b), taking into account the information in the file, it can be concluded that the companies have a reduced share, in any case, well below 50%.  </w:t>
        <w:br/>
        <w:t xml:space="preserve">(183) The geographical market affected by the infringement is the entirety of Spain (art. 64.1.c).  </w:t>
        <w:br/>
        <w:t xml:space="preserve">(184) The duration of the conduct (art. 64.1.d) spans from February 2016 to June 2019.  </w:t>
        <w:br/>
        <w:t>(185) The conduct has had the effect of eliminating competition in the affected bidding procedures, awarding the tender to the company that initially applied as a potential awardee and initiated the process of requesting coverage, and the fictitious participation in those tenders of the bidding companies, in a total of seven coverages (art. 64.1.e).”</w:t>
      </w:r>
    </w:p>
    <w:p>
      <w:r>
        <w:t>It is therefore clear that the criteria of Article 64.1 of the LDC have been taken into account to establish the corresponding sanctioning type according to the severity of the facts, detailing the assessment of each of them and specifying the severity and characteristics of the infringement and its participation in it.</w:t>
      </w:r>
    </w:p>
    <w:p>
      <w:r>
        <w:t xml:space="preserve">Moreover, it is important to emphasize that the lack of detail regarding the quantification of the assessments of the different criteria used does not imply, in any way, a lack of motivation, as indicated by jurisprudence. In this regard, see the Judgment of the Court of Justice of the European Union of October 22, 2015 (Case AC-Treuhand/Commission), which states the following:  </w:t>
        <w:br/>
        <w:t>“When setting the amount of the fine in the event of an infringement of competition rules, the Commission fulfills its obligation of motivation when it indicates in its decision the elements of appreciation that have allowed it to determine the severity of the infringement, as well as its duration, without being obliged to indicate the numerical data relating to the method of calculating the fine.”</w:t>
      </w:r>
    </w:p>
    <w:p>
      <w:r>
        <w:t>For all the above reasons, this Chamber considers that it is not appropriate to accept the allegations regarding the lack of motivation of the proposed sanction.</w:t>
      </w:r>
    </w:p>
    <w:p>
      <w:r>
        <w:t>Regarding the alleged lack of proportionality of the proposed sanctions, it should be emphasized that these are three very serious infringements – which can therefore be sanctioned with a fine of up to 10% of the company's turnover – constituting a cartel and affecting public tenders, thus undermining public funds.</w:t>
      </w:r>
    </w:p>
    <w:p>
      <w:r>
        <w:t>However, this Chamber considers that the sanctioning types indicated in the preceding section are more appropriate to the circumstances of the case.</w:t>
      </w:r>
    </w:p>
    <w:p>
      <w:r>
        <w:t>On the proportionality of the final fines imposed, it is necessary to emphasize that the final verification of proportionality is carried out for all companies. Therefore, both the DC and this Chamber ensure that the principle of proportionality is respected in each of the imposed sanctions, guaranteeing that none of the fines run the risk of being disproportionate in relation to the effective dimension of their conduct, considering all weighting factors (such as duration or intensity of each company's participation in the conduct).</w:t>
      </w:r>
    </w:p>
    <w:p>
      <w:r>
        <w:t>In any case, regarding the allegation of BIBLIODOC and LIBNOVA about the delicate economic situation in which these fines would leave the companies, it should be emphasized that the LDC provides for a system of sanctions that, even at its maximum degree, avoids jeopardizing the viability of the companies. This is why Article 63 of the law establishes limits of 1%, 5%, and 10% of the total turnover according to the severity of the infringement, so that the CNMC can in no case exceed these thresholds, thus ensuring the continuity of the infringing companies' activity. Likewise, it should be noted that companies may request, in the execution of the resolution, the payment of the imposed fine in installments.</w:t>
      </w:r>
    </w:p>
    <w:p>
      <w:r>
        <w:t xml:space="preserve">SIXTH. THE PROHIBITION TO CONTRACT  </w:t>
        <w:br/>
        <w:t>Article 71.1.b) of the Public Sector Contracts Law provides that individuals who have been definitively sanctioned for serious infringement in the area of distortion of competition are prohibited from contracting with entities that are part of the public sector. In this resolution, which concludes the sanctioning procedure and against which no administrative appeal can be made, the responsibility of several companies for infringement of Article 1 of the LDC is made evident, which must be classified as an infringement of distortion of competition for the purposes of the aforementioned Article 71.1.b) of the LCSP.</w:t>
      </w:r>
    </w:p>
    <w:p>
      <w:r>
        <w:t>The aforementioned prohibition to contract was introduced into the legal system by the ninth final provision of Law 40/2015, of October 1, which amended Articles 60 and 61 of the then-current consolidated text of the Public Sector Contracts Law (approved by Royal Legislative Decree 3/2011, of November 14) and which came into force on October 22, 2015. It has been established in this resolution that the duration of the infringements has extended beyond October 22, 2015, so its application corresponds to the companies responsible for it.</w:t>
      </w:r>
    </w:p>
    <w:p>
      <w:r>
        <w:t>The prohibition to contract must have a duration and scope determined, so that, in the event that they are not expressly determined in the corresponding administrative or judicial resolution, they must be established in an ad hoc procedure (art. 72.2 LCSP). That being said, and aside from the period in which such duration and scope must be established (art. 72.7 LCSP), it is possible to identify an automatism in the prohibition to contract derived from infringements in the area of distortion of competition, which arises ope legis or as a mere reflection of the issuance of a resolution declaring such infringement as provided by the aforementioned Article 71.1.b) of the LCSP.</w:t>
      </w:r>
    </w:p>
    <w:p>
      <w:r>
        <w:t>This resolution does not establish the duration and scope of the prohibition to contract. Therefore, such aspects must be determined through a procedure processed in accordance with Article 72.2 of the LCSP. To this end, it is agreed to send a</w:t>
      </w:r>
    </w:p>
    <w:p>
      <w:r>
        <w:rPr>
          <w:b/>
        </w:rPr>
        <w:t>[Pages 61–62]</w:t>
      </w:r>
    </w:p>
    <w:p>
      <w:r>
        <w:t xml:space="preserve">certification of this resolution to the Public Procurement Advisory Board of the State.  </w:t>
        <w:br/>
        <w:t xml:space="preserve">VII. RESOLVES  </w:t>
        <w:br/>
        <w:t xml:space="preserve">First. Declare that in the present file, the existence of three very serious infringements of Article 1 of Law 15/2007, of July 3, on the Defense of Competition, has been accredited, in the terms established in the fourth legal basis.  </w:t>
        <w:br/>
        <w:t xml:space="preserve">Second. In accordance with the fourth legal basis, declare the following entities responsible for said infringements:  </w:t>
        <w:br/>
        <w:t xml:space="preserve">- BIBLIODOC SERVICIOS DOCUMENTALES, S.L.  </w:t>
        <w:br/>
        <w:t xml:space="preserve">- LIBNOVA, S.L.  </w:t>
        <w:br/>
        <w:t xml:space="preserve">- PANDORA GESTIÓN DOCUMENTAL, S.L.  </w:t>
        <w:br/>
        <w:t xml:space="preserve">- Ms. Salomé Lendínez Ramírez (ALACAJA)  </w:t>
        <w:br/>
        <w:t xml:space="preserve">Third. In accordance with the responsibility of each company in the infringements, it is appropriate to impose the following sanctions:  </w:t>
        <w:br/>
        <w:t xml:space="preserve">- BIBLIODOC SERVICIOS DOCUMENTALES, S.L.: €65,254.  </w:t>
        <w:br/>
        <w:t xml:space="preserve">- LIBNOVA, S.L.: €75,250.  </w:t>
        <w:br/>
        <w:t xml:space="preserve">- PANDORA GESTIÓN DOCUMENTAL, S.L.: €20,351.  </w:t>
        <w:br/>
        <w:t xml:space="preserve">- Ms. Salomé Lendínez Ramírez (ALACAJA): €1,000.  </w:t>
        <w:br/>
        <w:t xml:space="preserve">Fourth. Urge the infringing companies to refrain in the future from engaging in conduct similar to that typified and sanctioned in this resolution.  </w:t>
        <w:br/>
        <w:t xml:space="preserve">Fifth. Request the Competition Directorate to analyze the possible responsibility of the executives in the infringement declared in this resolution.  </w:t>
        <w:br/>
        <w:t xml:space="preserve">Sixth. Forward this resolution to the Public Procurement Advisory Board of the State in accordance with the provisions of the sixth legal basis.  </w:t>
        <w:br/>
        <w:t xml:space="preserve">Seventh. Urge the Competition Directorate to monitor the full compliance with this resolution.  </w:t>
        <w:br/>
        <w:t xml:space="preserve">Communicate this Resolution to the Competition Directorate of the National Commission of Markets and Competition and notify the interested parties, informing them that there is no administrative appeal against it, and that they may file a contentious-administrative appeal with the National Court within two months from the day following its notification.  </w:t>
        <w:br/>
        <w:t xml:space="preserve">President Secretary of the Council  </w:t>
        <w:br/>
        <w:t>Ms. Cani Fernández Vicién Mr. Joaquim Hortalà i Vallvé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