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https://www.cnmc.es/expedientes/s002619</w:t>
      </w:r>
    </w:p>
    <w:p>
      <w:r>
        <w:t>Pages translated : 158</w:t>
      </w:r>
    </w:p>
    <w:p/>
    <w:p>
      <w:r>
        <w:rPr>
          <w:b/>
        </w:rPr>
        <w:t>[Pages 1–3]</w:t>
      </w:r>
    </w:p>
    <w:p>
      <w:r>
        <w:t xml:space="preserve">S/0026/19  </w:t>
        <w:br/>
        <w:t xml:space="preserve">MERCK SHARP DOHME, S.A.  </w:t>
        <w:br/>
        <w:t xml:space="preserve">RESOLUTION  </w:t>
        <w:br/>
        <w:t xml:space="preserve">MERCK SHARP DOHME, S.A.  </w:t>
        <w:br/>
        <w:t xml:space="preserve">S/0026/19  </w:t>
        <w:br/>
        <w:t xml:space="preserve">COUNCIL. COMPETITION CHAMBER  </w:t>
        <w:br/>
        <w:t xml:space="preserve">President  </w:t>
        <w:br/>
        <w:t xml:space="preserve">Ms. Cani Fernández Vicién  </w:t>
        <w:br/>
        <w:t xml:space="preserve">Councillors  </w:t>
        <w:br/>
        <w:t xml:space="preserve">Ms. María Pilar Canedo Arrillaga  </w:t>
        <w:br/>
        <w:t xml:space="preserve">Mr. Carlos Aguilar Paredes  </w:t>
        <w:br/>
        <w:t xml:space="preserve">Mr. Josep María Salas Prat  </w:t>
        <w:br/>
        <w:t xml:space="preserve">Ms. María Jesús Martín Martínez  </w:t>
        <w:br/>
        <w:t xml:space="preserve">Secretary of the Council  </w:t>
        <w:br/>
        <w:t xml:space="preserve">Mr. Miguel Bordiu García-Ovies  </w:t>
        <w:br/>
        <w:t xml:space="preserve">In Madrid, on October 21, 2022,  </w:t>
        <w:br/>
        <w:t xml:space="preserve">The Competition Chamber of the Council of the National Commission of Markets and Competition (CNMC) with the composition expressed, has issued the following resolution in the reference file initiated by the Directorate of Competition (DC) for alleged restrictive practices of competition prohibited in Article 102 of the Treaty on the Functioning of the European Union (TFEU) and Article 2 of Law 15/2007 on the Defense of Competition (LDC)1.  </w:t>
        <w:br/>
        <w:t xml:space="preserve">1 Law 15/2007, of July 3, on the Defense of Competition, BOE No. 159, of July 4, 2007, pages 28,848 to 28,872.  </w:t>
        <w:br/>
        <w:t xml:space="preserve">National Commission of Markets and Competition 1 of 158  </w:t>
        <w:br/>
        <w:t xml:space="preserve">C/ Alcalá, 47 – 28014 Madrid - C/ Bolivia, 56 – 08018 Barcelona  </w:t>
        <w:br/>
        <w:t>www.cnmc.es</w:t>
      </w:r>
    </w:p>
    <w:p>
      <w:r>
        <w:t xml:space="preserve">S/0026/19  </w:t>
        <w:br/>
        <w:t xml:space="preserve">MERCK SHARP DOHME, S.A.  </w:t>
        <w:br/>
        <w:t xml:space="preserve">TABLE OF CONTENTS  </w:t>
        <w:br/>
        <w:t xml:space="preserve">I. BACKGROUND ........................................................................................ 5  </w:t>
        <w:br/>
        <w:t xml:space="preserve">II. THE PARTIES .......................................................................................... 7  </w:t>
        <w:br/>
        <w:t xml:space="preserve">II.1. Complainant: Insud Pharma, SL (formerly Chemo) ......................................... 7  </w:t>
        <w:br/>
        <w:t xml:space="preserve">II.2. Respondent: Merck Sharp &amp; Dohme de España, S.A. and its parent company (MSD). ............................................................................................................ 8  </w:t>
        <w:br/>
        <w:t xml:space="preserve">III. REGULATORY FRAMEWORK ................................................................ 10  </w:t>
        <w:br/>
        <w:t xml:space="preserve">III.1. Regulations regarding the pharmaceutical sector .............................. 10  </w:t>
        <w:br/>
        <w:t xml:space="preserve">III.2. Patent regulations ......................................................... 12  </w:t>
        <w:br/>
        <w:t xml:space="preserve">III.2.A. General issues regarding patent law ........................................................ 12  </w:t>
        <w:br/>
        <w:t xml:space="preserve">III.2.B. Procedural specialties applicable to patents ....................................... 15  </w:t>
        <w:br/>
        <w:t xml:space="preserve">III.2.C. Relationship between industrial property regulations and regulations in the pharmaceutical sector ...................................... 23  </w:t>
        <w:br/>
        <w:t xml:space="preserve">IV. ESTABLISHED FACTS ........................................................................... 25  </w:t>
        <w:br/>
        <w:t xml:space="preserve">IV.1. The MSD patent .................................................................................. 26  </w:t>
        <w:br/>
        <w:t xml:space="preserve">IV.2. The product of INSUD PHARMA ............................................................ 29  </w:t>
        <w:br/>
        <w:t xml:space="preserve">IV.3. The degree of saturation of the active ingredient as a controversial element ............................................................................................... 30  </w:t>
        <w:br/>
        <w:t xml:space="preserve">IV.4. The judicial process initiated by MSD against INSUD ...................... 32  </w:t>
        <w:br/>
        <w:t xml:space="preserve">IV.4.A. Prior contacts ......................................................................................... 32  </w:t>
        <w:br/>
        <w:t xml:space="preserve">IV.4.B. Fact verification proceedings. ......................................................... 35  </w:t>
        <w:br/>
        <w:t xml:space="preserve">IV.4.C. Precautionary measures procedure ....................................................... 42  </w:t>
        <w:br/>
        <w:t xml:space="preserve">IV.4.D. Claim in the main proceedings ................................................................ 43  </w:t>
        <w:br/>
        <w:t xml:space="preserve">IV.4.E. Lifting of precautionary measures. ...................................................... 43  </w:t>
        <w:br/>
        <w:t xml:space="preserve">IV.4.F. Appeal against the order of revocation and dismissal by the Provincial Court of Barcelona ................................................................ 46  </w:t>
        <w:br/>
        <w:t xml:space="preserve">IV.4.G. Suspension of the main lawsuit and subsequent declaration of expiration ......................................................................................................... 46  </w:t>
        <w:br/>
        <w:t xml:space="preserve">IV.4.H. Compensation for damages. ...................................................................... 47  </w:t>
        <w:br/>
        <w:t xml:space="preserve">IV.4.I. Regarding the proceedings initiated in other countries. ..................................... 48  </w:t>
        <w:br/>
        <w:t xml:space="preserve">IV.5. Other relevant facts .............................................................................. 49  </w:t>
        <w:br/>
        <w:t xml:space="preserve">IV.5.A. 2013: Identification by MSD of the INSUD product .......................... 49  </w:t>
        <w:br/>
        <w:t xml:space="preserve">IV.5.B. From September 2014 to May 2015: contacts between INSUD PHARMA and MSD. .................................................................................. 52  </w:t>
        <w:br/>
        <w:t xml:space="preserve">IV.5.C. From January 2015 to June 2017: monitoring of competing products of its vaginal ring and development of a commercial strategy. ....................................................................................... 57  </w:t>
        <w:br/>
        <w:t xml:space="preserve">IV.5.D. Actions by MSD in 2017 coinciding with judicial actions .......................................................................................................... 58  </w:t>
        <w:br/>
        <w:t xml:space="preserve">IV.5.E. Assessment by MSD of the judicial actions undertaken (2018) ......................................................................................... 60  </w:t>
        <w:br/>
        <w:t xml:space="preserve">IV.5.F. Communication between MSD and INSUD regarding a possible out-of-court agreement. ..................................................................................................... 61  </w:t>
        <w:br/>
        <w:t xml:space="preserve">V. LEGAL GROUNDS .................................................................................. 62  </w:t>
        <w:br/>
        <w:t xml:space="preserve">National Commission of Markets and Competition 2 of 158  </w:t>
        <w:br/>
        <w:t xml:space="preserve">C/ Alcalá, 47 – 28014 Madrid - C/ Bolivia, 56 – 08018 Barcelona  </w:t>
        <w:br/>
        <w:t>www.cnmc.es</w:t>
      </w:r>
    </w:p>
    <w:p>
      <w:r>
        <w:t xml:space="preserve">S/0026/19  </w:t>
        <w:br/>
        <w:t xml:space="preserve">MERCK SHARP DOHME, S.A.  </w:t>
        <w:br/>
        <w:t xml:space="preserve">V.1. [FIRST] Competence to resolve, object of the procedure and applicable general regulations ....................................................................... 62  </w:t>
        <w:br/>
        <w:t xml:space="preserve">V.2. [SECOND] Proposal of the instructing body ........................................... 62  </w:t>
        <w:br/>
        <w:t xml:space="preserve">V.3. [THIRD] Assessment of the Competition Chamber .................................. 63  </w:t>
        <w:br/>
        <w:t xml:space="preserve">V.3.A. Preliminary considerations ................................................................................ 63  </w:t>
        <w:br/>
        <w:t xml:space="preserve">V.3.B. Classification of the analyzed conduct. Applicable regulations: Article 2 LDC and 102 TFEU ....................................................................................... 69  </w:t>
        <w:br/>
        <w:t xml:space="preserve">V.3.C. Definition of the relevant market .................................................................. 69  </w:t>
        <w:br/>
        <w:t xml:space="preserve">V.3.D. Dominant position ........................................................................................ 81  </w:t>
        <w:br/>
        <w:t xml:space="preserve">V.3.E. Abuse of dominant position ...................................................................... 87  </w:t>
        <w:br/>
        <w:t xml:space="preserve">V.3.F. On the effects in the market ................................................................. 118  </w:t>
        <w:br/>
        <w:t xml:space="preserve">V.3.G. Single infringement and duration of the conduct ........................................ 128  </w:t>
        <w:br/>
        <w:t xml:space="preserve">V.3.H. Guilt and individualized responsibility ................................................. 130  </w:t>
        <w:br/>
        <w:t xml:space="preserve">V.3.I. AFFECTATION TO TRADE BETWEEN MEMBER STATES ............................................. 134  </w:t>
        <w:br/>
        <w:t xml:space="preserve">V.4. [FOURTH] Response of the Chamber to other allegations ............................ 138  </w:t>
        <w:br/>
        <w:t xml:space="preserve">V.4.A. [FIRST] On the improper incorporation into the file of documentation constituting professional secrecy ......................................................... 138  </w:t>
        <w:br/>
        <w:t xml:space="preserve">V.4.B. [SECOND] On the complainant's motives for filing their complaint (spurious purpose) ......................................................................... 139  </w:t>
        <w:br/>
        <w:t xml:space="preserve">V.4.C. [THIRD] On the request for a hearing ....................................................... 140  </w:t>
        <w:br/>
        <w:t xml:space="preserve">V.4.D. [FOURTH] On the declaration of confidentiality ................................ 140  </w:t>
        <w:br/>
        <w:t xml:space="preserve">V.4.E. On the requests for evidence practice .................................................... 140  </w:t>
        <w:br/>
        <w:t xml:space="preserve">V.4.F. On the alleged nullity of the agreement of this Chamber of June 22, 2022, by which the European Commission was notified of the Proposal for Resolution ..................................................................................................... 141  </w:t>
        <w:br/>
        <w:t xml:space="preserve">V.5. [FIFTH] Determination of the sanction ................................................... 143  </w:t>
        <w:br/>
        <w:t xml:space="preserve">V.5.A. Proposal for resolution, agreement for reclassification and allegations of MSD ................................................................................................................. 143  </w:t>
        <w:br/>
        <w:t xml:space="preserve">V.5.B. Criteria for determining the sanction .................................................... 145  </w:t>
        <w:br/>
        <w:t xml:space="preserve">V.5.C. Imposed fine ............................................................................................... 148  </w:t>
        <w:br/>
        <w:t xml:space="preserve">V.6. [SIXTH] Application of the prohibition to contract ................................ 154  </w:t>
        <w:br/>
        <w:t xml:space="preserve">V.6.A. Proposal of the instructing body .................................................................. 154  </w:t>
        <w:br/>
        <w:t xml:space="preserve">V.6.B. Allegations of MSD ..................................................................................... 154  </w:t>
        <w:br/>
        <w:t xml:space="preserve">V.6.C. Assessment of the Competition Chamber ........................................................ 155  </w:t>
        <w:br/>
        <w:t xml:space="preserve">VI. RESOLVES .............................................................................................. 157  </w:t>
        <w:br/>
        <w:t xml:space="preserve">INDEX OF TABLES  </w:t>
        <w:br/>
        <w:t xml:space="preserve">Table 1. Response of the companies to the information requests ..................... 5  </w:t>
        <w:br/>
        <w:t xml:space="preserve">INDEX OF IMAGES  </w:t>
        <w:br/>
        <w:t xml:space="preserve">Image 1. Presentation in PPT format submitted by INSUD PHARMA as annex 6.1.b of its complaint, in the section "ChemoEtonogestrel / EE Vaginal Ring" ......... 54  </w:t>
        <w:br/>
        <w:t xml:space="preserve">Image 2. Presentation in PPT format submitted by INSUD PHARMA as annex 6.1.b of its complaint, in the section "Conclusions" .................................................... 54  </w:t>
        <w:br/>
        <w:t xml:space="preserve">Image 3. [CONFIDENTIAL] ..................................................................................................... 57  </w:t>
        <w:br/>
        <w:t xml:space="preserve">Image 4. [CONFIDENTIAL] ..................................................................................................... 58  </w:t>
        <w:br/>
        <w:t xml:space="preserve">Image 5. [CONFIDENTIAL] ..................................................................................................... 58  </w:t>
        <w:br/>
        <w:t xml:space="preserve">Image 6. [CONFIDENTIAL] ..................................................................................................... 61  </w:t>
        <w:br/>
        <w:t xml:space="preserve">National Commission of Markets and Competition 3 of 158  </w:t>
        <w:br/>
        <w:t xml:space="preserve">C/ Alcalá, 47 – 28014 Madrid - C/ Bolivia, 56 – 08018 Barcelona  </w:t>
        <w:br/>
        <w:t>www.cnmc.es</w:t>
      </w:r>
    </w:p>
    <w:p>
      <w:r>
        <w:rPr>
          <w:b/>
        </w:rPr>
        <w:t>[Pages 4–6]</w:t>
      </w:r>
    </w:p>
    <w:p>
      <w:r>
        <w:t xml:space="preserve">S/0026/19  </w:t>
        <w:br/>
        <w:t xml:space="preserve">MERCK SHARP DOHME, S.A.  </w:t>
        <w:br/>
        <w:t xml:space="preserve">Image 7. [CONFIDENTIAL]. .................................................................................................... 61  </w:t>
        <w:br/>
        <w:t xml:space="preserve">Image 8. [CONFIDENTIAL] ..................................................................................................... 61  </w:t>
        <w:br/>
        <w:t xml:space="preserve">Image 9. Evolution of sales of rings in Spain between 2017 and 2020 ...................... 75  </w:t>
        <w:br/>
        <w:t xml:space="preserve">Image 10. [CONFIDENTIAL] ................................................................................................. 102  </w:t>
        <w:br/>
        <w:t xml:space="preserve">Image 11. [CONFIDENTIAL]. ................................................................................................ 115  </w:t>
        <w:br/>
        <w:t xml:space="preserve">Image 12. Comparison with IMS data April of packs of 1 and 3 rings ........................... 122  </w:t>
        <w:br/>
        <w:t xml:space="preserve">Image 11. Evolution of sales of rings in Spain between 2017 and 2020 .................. 123  </w:t>
        <w:br/>
        <w:t xml:space="preserve">Image 13. Market shares of rings in Spain................................................................. 123  </w:t>
        <w:br/>
        <w:t xml:space="preserve">Image 14. Calculation of MSD's profit from the sales of NURAVING between 2017 and 2019 125  </w:t>
        <w:br/>
        <w:t xml:space="preserve">Image 15. [CENSORED] ..................................................................................................... 125  </w:t>
        <w:br/>
        <w:t xml:space="preserve">Image 16. [CENSORED] ..................................................................................................... 125  </w:t>
        <w:br/>
        <w:t xml:space="preserve">Image 17. [CENSORED] ..................................................................................................... 125  </w:t>
        <w:br/>
        <w:t xml:space="preserve">Image 18. [CONFIDENTIAL] ................................................................................................. 151  </w:t>
        <w:br/>
        <w:t xml:space="preserve">Image 19. [CONFIDENTIAL] ................................................................................................. 151  </w:t>
        <w:br/>
        <w:t xml:space="preserve">Comisión Nacional de los Mercados y la Competencia 4 de 158  </w:t>
        <w:br/>
        <w:t xml:space="preserve">C/ Alcalá, 47 – 28014 Madrid - C/ Bolivia, 56 – 08018 Barcelona  </w:t>
        <w:br/>
        <w:t>www.cnmc.es</w:t>
      </w:r>
    </w:p>
    <w:p>
      <w:r>
        <w:t xml:space="preserve">S/0026/19  </w:t>
        <w:br/>
        <w:t xml:space="preserve">MERCK SHARP DOHME, S.A.  </w:t>
        <w:br/>
        <w:t xml:space="preserve">I. BACKGROUND  </w:t>
        <w:br/>
        <w:t xml:space="preserve">(1) On April 8, 2019, a complaint was received at the CNMC filed by INSUD PHARMA S.L (INSUD) for an alleged abuse of dominant position, contrary to Articles 2 of the LDC and 102 of the TFEU, by the pharmaceutical company MERCK SHARP &amp; DOHME (MSD). The reported practice would have consisted of adopting a strategy aimed at delaying and hindering the entry of competitors into the Spanish market for hormonal contraceptive drugs of the ring type, specifically the drugs marketed by the complainant, all in order to protect the sales of the hormonal contraceptive vaginal ring known as “Nuvaring,” marketed exclusively by MSD. This complaint was completed on April 9, 2019.  </w:t>
        <w:br/>
        <w:t xml:space="preserve">(2) Following the information provided by the complainant, the DC initiated a reserved inquiry, under reference number DP/014/19. On May 21, 22, and 23, 2019, inspections were carried out at MSD's headquarters. The DC made information requests to both companies. They were answered on the dates listed in the following table:  </w:t>
        <w:br/>
        <w:t xml:space="preserve">(3) Table 1. Response of the companies to the information requests  </w:t>
        <w:br/>
        <w:t xml:space="preserve">Date Company Folios  </w:t>
        <w:br/>
        <w:t xml:space="preserve">18/07/19 MSD 1.426 to 1.452  </w:t>
        <w:br/>
        <w:t xml:space="preserve">19/07/19 INSUD (Supplementary Information) 1.924 to 1.928  </w:t>
        <w:br/>
        <w:t xml:space="preserve">5/09/19 2.049 to 2.050  </w:t>
        <w:br/>
        <w:t xml:space="preserve">26/09/19 INSUD 2.109 to 2.132  </w:t>
        <w:br/>
        <w:t xml:space="preserve">14/10/19 INSUD (Supplementary Information) 2.563 to 2.585  </w:t>
        <w:br/>
        <w:t xml:space="preserve">15/10/19 2.623  </w:t>
        <w:br/>
        <w:t xml:space="preserve">19/11/19 MSD 2.642 to 2.656  </w:t>
        <w:br/>
        <w:t xml:space="preserve">(4) On November 20, 2019, in accordance with Article 49.1 of the LDC, the DC initiated sanctioning procedure S/0026/19 against MSD and its European parent, MSD HUMAN HEALTH HOLDING B.V. for a possible infringement of Article 2 of the LDC and 102 of the TFEU. The anticompetitive conduct would have consisted of the abusive exercise, by MSD, of judicial actions related to an alleged infringement of the patent of its contraceptive vaginal ring, in order to prevent the entry into this market of products manufactured and marketed by INSUD.  </w:t>
        <w:br/>
        <w:t xml:space="preserve">(5) During the processing of the procedure, MSD raised:  </w:t>
        <w:br/>
        <w:t xml:space="preserve">Comisión Nacional de los Mercados y la Competencia 5 de 158  </w:t>
        <w:br/>
        <w:t xml:space="preserve">C/ Alcalá, 47 – 28014 Madrid - C/ Bolivia, 56 – 08018 Barcelona  </w:t>
        <w:br/>
        <w:t>www.cnmc.es</w:t>
      </w:r>
    </w:p>
    <w:p>
      <w:r>
        <w:t xml:space="preserve">S/0026/19  </w:t>
        <w:br/>
        <w:t xml:space="preserve">MERCK SHARP DOHME, S.A.  </w:t>
        <w:br/>
        <w:t xml:space="preserve">- The appeal R/AJ/144/19 directed against the agreement to initiate the file and the attribution to the complainant, INSUD PHARMA S.L., of the status of interested party in the sanctioning procedure, which resulted in a dismissive resolution of March 4, 2020.  </w:t>
        <w:br/>
        <w:t xml:space="preserve">- The appeal R/AJ/066/20 against the resolution denying the confidentiality of certain information collected during the inspection and incorporated into the file and the improper incorporation into the file of certain information protected by attorney-client privilege resulted in the resolution of October 6, 2020, partially favorable.  </w:t>
        <w:br/>
        <w:t xml:space="preserve">At the date of this resolution, the aforementioned resolutions are under appeal and pending pronouncement by the Administrative Litigation Chamber of the National Court.  </w:t>
        <w:br/>
        <w:t xml:space="preserve">(6) On January 28, 2022, the DC adopted the Statement of Facts (PCH), in accordance with Article 33 of the Competition Defense Regulation (RDC). The PCH was duly notified to the parties (folios 8.159-8.274).  </w:t>
        <w:br/>
        <w:t xml:space="preserve">(7) On March 2, 2022, the allegations of MSD (folios 8.420 to 8.533) and of INSUD (folios 9.621 to 9.644) to the PCH were received.  </w:t>
        <w:br/>
        <w:t xml:space="preserve">(8) On May 17, 2022, the DC agreed to close the instruction phase of the procedure (folio 10.119).  </w:t>
        <w:br/>
        <w:t xml:space="preserve">(9) On May 18, 2022, the Proposal for Resolution (folios 10.127 to 10.330) was issued in which the DC proposes to sanction MSD for engaging in an abuse of dominant position under Article 2 of the LDC and 102 of the TFEU (classified as a very serious infringement by the LDC), consisting of the use of judicial actions in an anticompetitive manner as they were aimed exclusively at delaying and/or preventing the entry of a competitor into the affected market.  </w:t>
        <w:br/>
        <w:t xml:space="preserve">(10) On June 9, 2022, the allegations of INSUD (folios 10.534 to 10.564) and of MSD (folios 10.568 to 10.744) to the Proposal for Resolution were received.  </w:t>
        <w:br/>
        <w:t xml:space="preserve">(11) On June 10, 2022, the DC submitted its Report and Proposal for Resolution to the Competition Chamber of the CNMC (folios 11.024 to 11.227).  </w:t>
        <w:br/>
        <w:t xml:space="preserve">(12) On June 22, 2022, the Competition Chamber of the CNMC agreed to send information to the European Commission as provided for in Article 11.4 of the  </w:t>
        <w:br/>
        <w:t xml:space="preserve">2 Resolution of the Competition Chamber of March 4, 2020, issued in the appeal R/AJ/144/19, MSD.  </w:t>
        <w:br/>
        <w:t xml:space="preserve">3 Resolution of the Competition Chamber of October 6, 2020, issued in the appeal R/AJ/066/20, MSD.  </w:t>
        <w:br/>
        <w:t xml:space="preserve">4 Royal Decree 261/2008, of February 22, approving the Competition Defense Regulation, BOE No. 50, of February 27, 2008, pages 11575 to 11604.  </w:t>
        <w:br/>
        <w:t xml:space="preserve">Comisión Nacional de los Mercados y la Competencia 6 de 158  </w:t>
        <w:br/>
        <w:t xml:space="preserve">C/ Alcalá, 47 – 28014 Madrid - C/ Bolivia, 56 – 08018 Barcelona  </w:t>
        <w:br/>
        <w:t>www.cnmc.es</w:t>
      </w:r>
    </w:p>
    <w:p>
      <w:r>
        <w:rPr>
          <w:b/>
        </w:rPr>
        <w:t>[Pages 7–9]</w:t>
      </w:r>
    </w:p>
    <w:p>
      <w:r>
        <w:t xml:space="preserve">S/0026/19  </w:t>
        <w:br/>
        <w:t xml:space="preserve">MERCK SHARP DOHME, S.A.  </w:t>
        <w:br/>
        <w:t xml:space="preserve">Regulation 1/20035. Likewise, it was agreed to suspend the deadline for resolving the sanctioning procedure effective June 23, 2022, until a response was provided by the European Commission to the information submitted or the term referred to in Article 11.4 of Regulation (EC) No. 1/2003 elapsed (folios 11.422 to 11.424).  </w:t>
        <w:br/>
        <w:t xml:space="preserve">(13) By a resolution dated September 8, 2022, the Competition Chamber agreed to modify the qualification of the infringement and the sanction made by the Competition Directorate in its Proposal for Resolution, granting a period of fifteen working days to present allegations (folios 11.458 to 11.478). This period was extended at the request of MSD for an additional seven working days.  </w:t>
        <w:br/>
        <w:t xml:space="preserve">(14) On September 20, 2022, the allegations of INSUD were received (folios 11.548-11.554) and on October 10, 2022, the allegations of MSD regarding the modification of the qualification were received (folios 11.562-11.596).  </w:t>
        <w:br/>
        <w:t xml:space="preserve">(15) The Competition Chamber of the CNMC Council deliberated and ruled on the matter in its meeting on October 21, 2022.  </w:t>
        <w:br/>
        <w:t xml:space="preserve">II. THE PARTIES  </w:t>
        <w:br/>
        <w:t xml:space="preserve">II.1. Complainant: Insud Pharma, SL (formerly Chemo)  </w:t>
        <w:br/>
        <w:t xml:space="preserve">(16) INSUD PHARMA, S.L. is a multinational operating in the chemical-pharmaceutical industry, headquartered in Spain, located at Calle Manuel Pombo Angulo, 28, 28050, Madrid. Its previous name was CHEMO6.  </w:t>
        <w:br/>
        <w:t xml:space="preserve">(17) INSUD PHARMA operates with three business divisions:  </w:t>
        <w:br/>
        <w:t xml:space="preserve">- CHEMO, which develops and manufactures value-added pharmaceutical active ingredients and finished products (FDF or "final dosage forms" in English) for both human and animal health, in the main therapeutic areas. The CHEMO manufacturing network comprises a total of nine plants: four chemical plants (in Spain, Italy, Argentina, and India) and five pharmaceutical plants in Spain. It is currently referred to as CHEMO INDUSTRIAL),7  </w:t>
        <w:br/>
        <w:t xml:space="preserve">- EXELTIS, is the brand pharmaceutical business of INSUD PHARMA (branded generic drugs) 8. It is a global organization with over 40 subsidiaries across four continents, developing, producing, and marketing a catalog of more than 300 medicines and medical devices covering various therapeutic areas such as women's health, respiratory health, dermatology, or endocrinology.  </w:t>
        <w:br/>
        <w:t xml:space="preserve">- MABXIENCE, is an international biotechnology company founded in 2009 and specialized in the research, development, manufacturing, and global marketing of biosimilar monoclonal antibodies for the treatment and prevention of diseases in different therapeutic areas9. Through its B2B collaboration model with local partners, MABXIENCE has a consolidated presence in over 100 countries worldwide.  </w:t>
        <w:br/>
        <w:t xml:space="preserve">(18) INSUD PHARMA has two wholly-owned subsidiaries:  </w:t>
        <w:br/>
        <w:t xml:space="preserve">- CHEMO HOLDING S.L. SPAIN, which in turn wholly owns LABORATORIOS LEÓN FARMA, S.A.  </w:t>
        <w:br/>
        <w:t xml:space="preserve">- EXELTIS PHARMA HOLDING, S.L, which wholly owns EXELTIS HEALTHCARE S.L.  </w:t>
        <w:br/>
        <w:t xml:space="preserve">(19) INSUD PHARMA markets the vaginal ring "Anillo LF" under the trade name "Ornibel 0.120 mg/0.015 mg every 24 hours, vaginal release system EFG" since 201710  </w:t>
        <w:br/>
        <w:t xml:space="preserve">(20) INSUD PHARMA markets its contraceptive rings, either through its own subsidiary EXELTIS under the trade name Ornibel® or through licenses granted to other pharmaceutical laboratories under different names: Dolna® (ADAMED LABORATORIOS, S.L.U. authorized on 20/06/2017), Femloop® (BEXAL FARMACEUTICA, S.A. authorized on 29/11/2017) and Setlona® (MYLAN PHARMACEUTICALS, S.L., authorized on 22/12/2017).  </w:t>
        <w:br/>
        <w:t xml:space="preserve">(21) The "Anillo LF" is exclusively manufactured at the facilities of INSUD PHARMA's subsidiary, LABORATORIOS LEÓN FARMA, located in the province of León.  </w:t>
        <w:br/>
        <w:t xml:space="preserve">(22) In 2020, INSUD PHARMA invoiced €213,359,534.11  </w:t>
        <w:br/>
        <w:t xml:space="preserve">II.2. Respondent: Merck Sharp &amp; Dohme de España, S.A. and its parent company (MSD).  </w:t>
        <w:br/>
        <w:t xml:space="preserve">(23) MERCK &amp; CO., INC. is a multinational, headquartered in the U.S., operating in the pharmaceutical businesses of vaccines and animal health, in over 140 countries,  </w:t>
        <w:br/>
        <w:t xml:space="preserve">9 http://www.mabxience.com/.  </w:t>
        <w:br/>
        <w:t xml:space="preserve">10 The Anillo LF was authorized in the Netherlands and later approved in other Member States. Regarding Spain, the Anillo LF was authorized by the AEMPS in June 2017.  </w:t>
        <w:br/>
        <w:t xml:space="preserve">11 According to information from the INFORMA database (folio 8.102)  </w:t>
        <w:br/>
        <w:t xml:space="preserve">Comisión Nacional de los Mercados y la Competencia 8 de 158  </w:t>
        <w:br/>
        <w:t xml:space="preserve">C/ Alcalá, 47 – 28014 Madrid - C/ Bolivia, 56 – 08018 Barcelona  </w:t>
        <w:br/>
        <w:t>www.cnmc.es</w:t>
      </w:r>
    </w:p>
    <w:p>
      <w:r>
        <w:t xml:space="preserve">S/0026/19  </w:t>
        <w:br/>
        <w:t xml:space="preserve">MERCK SHARP DOHME, S.A.  </w:t>
        <w:br/>
        <w:t xml:space="preserve">ranking eighth worldwide, with annual sales around €6.2 billion.12  </w:t>
        <w:br/>
        <w:t xml:space="preserve">(24) MERCK SHARP &amp; DOHME, BV is a subsidiary of MERCK &amp; CO. INC and holds European patent EP 876 815 B1 (hereinafter, “EP’815”),13 the main patent that protects the contraceptive ring marketed by MSD under the name “Nuvaring.” The expiration of this patent occurred on April 9, 2018.  </w:t>
        <w:br/>
        <w:t xml:space="preserve">(25) Through licensing, other European companies of the MERCK group such as MERCK SHARP &amp; DOHME DE ESPAÑA, S.A., MSD FINLANDIA OY, and MERCK SHARP &amp; DOHME (SUECIA) AKTIEBOLAG have the right to market the combined hormonal vaginal ring of MSD.14  </w:t>
        <w:br/>
        <w:t xml:space="preserve">(26) The group's subsidiary in Spain is MERCK SHARP &amp; DOHME DE ESPAÑA, S.A. (MSD) whose registered office is located at Calle Josefa Valcárcel 38, 28027, Madrid and whose 100% parent company in Europe is MSD HUMAN HEALTH HOLDING, B.V.  </w:t>
        <w:br/>
        <w:t xml:space="preserve">(27) According to data from the OEPM, MERCK SHARP &amp; DOHME DE ESPAÑA, S.A. (MSD) holds the license for the European patent of Nuvaring (license number 201730012), which was subsequently validated in Spain (no. 2171283),15 translation of the one registered with the European Patent Office.  </w:t>
        <w:br/>
        <w:t xml:space="preserve">(28) MSD has been the holder of the license for the first combined hormonal vaginal contraceptive ring on the Spanish market. Its marketing was authorized in February 200216 by the AEMPS under the trade name “Nuvaring 0.120 mg/0.015 mg every 24 hours, vaginal release system.”  </w:t>
        <w:br/>
        <w:t xml:space="preserve">(29) As reported by MSD following an express request from the Competition Directorate,17 since June 3, 2021, the manufacturing, marketing, and distribution of the Nuvaring product, which was previously carried out by the MERCK group companies, passed as a result of a global spin-off effective through universal succession to the companies of the ORGANON group (including its Spanish subsidiary ORGANON ESPAÑA), which are currently the holders of all rights and obligations that comprise this line of business.  </w:t>
        <w:br/>
        <w:t xml:space="preserve">12 According to information provided by www.statista.com.  </w:t>
        <w:br/>
        <w:t xml:space="preserve">13 European Patent EP 876815B1, submitted by INSUD PHARMA (folios 419 to 428).  </w:t>
        <w:br/>
        <w:t xml:space="preserve">14 http://www.msd.com/, http://www.msd.com/about/our-history/facts/home.html  </w:t>
        <w:br/>
        <w:t xml:space="preserve">15 The European Patent was subsequently validated and published by the Spanish Patent and Trademark Office in the name of MERCK SHARP &amp; DOHME BV with publication number ES 2.171.283 T3.  </w:t>
        <w:br/>
        <w:t xml:space="preserve">16 Information from the website: https://cima.aemps.es/cima/publico/lista.html  </w:t>
        <w:br/>
        <w:t xml:space="preserve">17 Response from MSD to the information request regarding the spin-off operation (folios 9.760 to 9.767).  </w:t>
        <w:br/>
        <w:t xml:space="preserve">Comisión Nacional de los Mercados y la Competencia 9 de 158  </w:t>
        <w:br/>
        <w:t xml:space="preserve">C/ Alcalá, 47 – 28014 Madrid - C/ Bolivia, 56 – 08018 Barcelona  </w:t>
        <w:br/>
        <w:t>www.cnmc.es</w:t>
      </w:r>
    </w:p>
    <w:p>
      <w:r>
        <w:rPr>
          <w:b/>
        </w:rPr>
        <w:t>[Pages 10–12]</w:t>
      </w:r>
    </w:p>
    <w:p>
      <w:r>
        <w:t xml:space="preserve">S/0026/19  </w:t>
        <w:br/>
        <w:t xml:space="preserve">MERCK SHARP DOHME, S.A.  </w:t>
        <w:br/>
        <w:t xml:space="preserve">(30) In 2020, MSD invoiced €748,035,000 in Spain 18. In 2021, the final figure for total turnover was €677,120,295.80 19.  </w:t>
        <w:br/>
        <w:t xml:space="preserve">III. REGULATORY FRAMEWORK  </w:t>
        <w:br/>
        <w:t xml:space="preserve">(31) The conduct being judged here is conditioned by the application of different regulations governing the sector of patents on medicines for human use. Therefore, reference must be made to the health regulations that govern the conditions for the marketing of a medicine and to patent law, including its procedural specialties.  </w:t>
        <w:br/>
        <w:t xml:space="preserve">III.1. Regulations in the Pharmaceutical Sector  </w:t>
        <w:br/>
        <w:t xml:space="preserve">(32) The reference regulation is the Law on Guarantees and the Rational Use of Medicines and Health Products, approved by Royal Legislative Decree 1/2015 (hereinafter, LGM), which defines a medicine as “any substance or combination of substances that is presented as having properties for the treatment or prevention of diseases in humans or that may be used in humans or administered to humans in order to restore, correct or modify physiological functions by exerting a pharmacological, immunological or metabolic action, or to establish a medical diagnosis” (art. 2.a)) 20.  </w:t>
        <w:br/>
        <w:t xml:space="preserve">(33) Medicines must be authorized before they can be marketed. According to Article 9.1 LGM, which states: “no industrially manufactured medicine may be placed on the market without the prior authorization of the Spanish Agency for Medicines and Health Products and registration in the Medicines Registry or without having obtained authorization in accordance with the provisions of the European regulations that establish the community procedures for the authorization and control of medicines for human and veterinary use and that regulate the European Medicines Agency.”  </w:t>
        <w:br/>
        <w:t xml:space="preserve">(34) According to Article 10.1 of the LGM, the AEPMS will authorize a medicine, provided that the following conditions are met:  </w:t>
        <w:br/>
        <w:t xml:space="preserve">“a) Meet the quality requirements established.  </w:t>
        <w:br/>
        <w:t xml:space="preserve">b) Be safe, not producing in normal conditions of use toxic or undesirable effects disproportionate to the benefit it provides.  </w:t>
        <w:br/>
        <w:t xml:space="preserve">c) Be effective in the therapeutic indications for which it is offered.  </w:t>
        <w:br/>
        <w:t xml:space="preserve">d) Be correctly identified.  </w:t>
        <w:br/>
        <w:t xml:space="preserve">e) Provide the precise information, in an accessible format and in a manner understandable to the patient, for its correct use.”  </w:t>
        <w:br/>
        <w:t xml:space="preserve">(35) To obtain the authorization of a medicine, it is mandatory to provide the preclinical and clinical trials that are determined by regulation (Art 33.1 LGM).21  </w:t>
        <w:br/>
        <w:t xml:space="preserve">(36) According to Article 17.3 of the LGM, the applicant will not be obliged to provide the results of the established preclinical and clinical trials if they can demonstrate that the medicine is a generic of a reference medicine that has been authorized for at least eight years in any Member State of the European Union, or by the European Union, even when the reference medicine was not authorized in Spain, without prejudice to the rights relating to the protection of industrial and commercial property.  </w:t>
        <w:br/>
        <w:t xml:space="preserve">(37) Likewise, according to paragraph 6 of Article 15, when it comes to a medicine that has the same qualitative and quantitative composition in active ingredients and the same pharmaceutical form as another already authorized and registered, the applicant may use the pharmaceutical, preclinical, and clinical documentation contained in the file of the authorized medicine as long as they have the consent of the holder.  </w:t>
        <w:br/>
        <w:t xml:space="preserve">(38) According to Article 2 g) of the LGM, a generic medicine is:  </w:t>
        <w:br/>
        <w:t xml:space="preserve">“Any medicine that has the same qualitative and quantitative composition in active ingredients and the same pharmaceutical form, and whose bioequivalence with the reference medicine has been demonstrated by adequate bioavailability studies. Different salts, esters, ethers, isomers, mixtures of isomers, complexes, or derivatives of an active ingredient will be considered the same active ingredient, unless they have significantly different properties in terms of safety and/or efficacy. Different oral pharmaceutical forms of immediate release will be considered the same pharmaceutical form. The applicant may be exempt from presenting bioavailability studies if they can demonstrate that the generic medicine meets the relevant criteria defined in the corresponding detailed guidelines.”  </w:t>
        <w:br/>
        <w:t xml:space="preserve">(39) Article 18 LGM, under the heading “Data Exclusivity” indicates that generic medicines authorized by the Spanish Medicines Agency may not be marketed until a period of ten years has elapsed from the date of authorization of the reference medicine. This ten-year period will be extended to a maximum period of eleven years if during the first eight years within the ten-year period, the holder of the reference medicine obtains authorization for “one or more new therapeutic indications, and during the scientific evaluation prior to its authorization, it is established that such indications provide a significant clinical benefit compared to existing therapies.”  </w:t>
        <w:br/>
        <w:t xml:space="preserve">(40) Article 14.2 LGM establishes:  </w:t>
        <w:br/>
        <w:t xml:space="preserve">“generic medicines must be designated with the official Spanish name of the active ingredient and, in its absence, with the usual or scientific common name of that substance, accompanied, where appropriate, by the name or brand of the holder or manufacturer; likewise, they may be named with a brand as long as it cannot be confused with an official Spanish name or an international common name nor mislead regarding the therapeutic properties or the nature of the medicine. Generic medicines will be identified by carrying the initials “EFG” following their name.  </w:t>
        <w:br/>
        <w:t xml:space="preserve">III.2. Patent Regulations  </w:t>
        <w:br/>
        <w:t xml:space="preserve">III.2.A. General Issues on Patent Law  </w:t>
        <w:br/>
        <w:t xml:space="preserve">(41) Intellectual property is a broad category that encompasses different categories of rights over intangible goods. It has two branches: industrial property22, which includes inventions (patents), trademarks, industrial designs, and semiconductor topographies, and copyright, a term that refers to the rights of creators over their literary and artistic works.  </w:t>
        <w:br/>
        <w:t xml:space="preserve">(42) Regarding the protection of inventions through patent rights, the provisions of Law 24/2015 on Patents (LP)23 must be taken into account. A patent is an exclusive right granted over an invention and, as such, allows its holder to prohibit the exploitation of the invention by third parties or to decide how to authorize it and in what form. This right is granted to inventions that represent an innovation that is specified in the requirements of patentability: novelty, inventive step, and industrial applicability. In return, in the published patent document, the patent holder discloses the technical information related to the invention, instead of keeping it secret24.  </w:t>
        <w:br/>
        <w:t xml:space="preserve">22 For information on the different types of industrial property rights, see the document Basic Principles of Industrial Property, WIPO, 2016, available on the WIPO website https://www.wipo.int.  </w:t>
        <w:br/>
        <w:t xml:space="preserve">23 Law 24/2015, of July 24, on Patents. “BOE” No. 177, of 07/25/2015.  </w:t>
        <w:br/>
        <w:t>24 https://www.wipo.int/patents/es/</w:t>
      </w:r>
    </w:p>
    <w:p>
      <w:r>
        <w:rPr>
          <w:b/>
        </w:rPr>
        <w:t>[Pages 13–15]</w:t>
      </w:r>
    </w:p>
    <w:p>
      <w:r>
        <w:t xml:space="preserve">S/0026/19  </w:t>
        <w:br/>
        <w:t xml:space="preserve">MERCK SHARP DOHME, S.A.  </w:t>
        <w:br/>
        <w:t xml:space="preserve">(43) In patent law, there is an implicit balance between the private interest of the holder, who obtains a temporary exclusive right, and society, which benefits from the disclosure of the invention, enriching the technological heritage.  </w:t>
        <w:br/>
        <w:t xml:space="preserve">(44) According to Article 27 of the Patent Law (LP), the invention must be described in the patent application in a sufficiently clear and complete manner so that a person skilled in the art can execute it. Therefore, one of the grounds for nullity of the patent is that it does not describe the invention in a sufficiently clear and complete manner for a person skilled in the art to execute it (102.1.b LP).  </w:t>
        <w:br/>
        <w:t xml:space="preserve">(45) There are different procedures to obtain a patent in Spain. One of these routes is to apply directly to the Spanish Patent and Trademark Office (OEPM). It is also possible to apply for a European patent, granted centrally by the European Patent Office (EPO) under a single procedure until the grant.25 Once granted, European patents disintegrate into a bundle of national patents, whose effects are governed by the provisions of the national legislation of each State. In Spain, for example, it is mandatory to submit a translation into Spanish of the European patent as granted (art. 155 LP).  </w:t>
        <w:br/>
        <w:t xml:space="preserve">(46) There is also the possibility of using the international procedure provided for in the Patent Cooperation Treaty (PCT), which allows for the centralization of much of the necessary procedures for the granting of a patent (application, prior art search, examination of novelty and inventive activity) in order to obtain protection in 156 contracting States.26  </w:t>
        <w:br/>
        <w:t xml:space="preserve">(47) In Spanish law, the requirements for obtaining a patent are provided for in the LP (art. 4), which states that "patentable inventions are those that are new or involve inventive activity and are susceptible of industrial application in all fields of technology."  </w:t>
        <w:br/>
        <w:t xml:space="preserve">25 The granting of European patents is governed by the Convention on the Grant of European Patents, done in Munich on October 5, 1973, "BOE" No. 234, of September 30, 1986, pages 33353 to 33400. For more information, the website of the European Office can be consulted at https://www.epo.org/index.html. There is another additional route: the unitary patent, but it is a system of which Spain is not a part. The new unitary patent is a single patent title that will be granted with the same effects in each of the participating member states and, unlike the European patent, will remain as a single unit. Regulation No. 1257/2012 of the European Parliament and of the Council, of December 17, 2012, establishing enhanced cooperation in the area of the creation of unitary patent protection (OJ L 361 of 31.12.2012, pp. 1–8). Spain is not part of this system.  </w:t>
        <w:br/>
        <w:t xml:space="preserve">26 https://www.wipo.int/treaties/es/registration/pct/index.html.  </w:t>
        <w:br/>
        <w:t xml:space="preserve">S/0026/19  </w:t>
        <w:br/>
        <w:t xml:space="preserve">MERCK SHARP DOHME, S.A.  </w:t>
        <w:br/>
        <w:t xml:space="preserve">(48) According to Article 58 of the LP, the patent has a duration period of 20 years, non-extendable, counted from the date of filing of the application and confers on its holder the right to prevent any third party who does not have their consent from:  </w:t>
        <w:br/>
        <w:t xml:space="preserve">“a) The manufacture, offering for sale, introduction into commerce or use of a product subject to the patent or the importation or possession of the same for any of the aforementioned purposes.  </w:t>
        <w:br/>
        <w:t xml:space="preserve">b) The use of a process subject to the patent or the offering of such use, when the third party knows, or the circumstances make it evident that the use of the process is prohibited without the consent of the patent holder.  </w:t>
        <w:br/>
        <w:t xml:space="preserve">c) The offering for sale, introduction into commerce or use of the product directly obtained by the process subject to the patent or the importation or possession of such product for any of the aforementioned purposes.”  </w:t>
        <w:br/>
        <w:t xml:space="preserve">(49) Article 68 of the LP indicates that the scope of protection will be determined by the claims presented in the application, as published. Section 1 states that the description of the invention and the drawings presented will serve as interpretative means for the claims. To determine the scope of protection according to the previous sections 1 and 2, all elements equivalent to an element indicated in the claims must be duly taken into account.  </w:t>
        <w:br/>
        <w:t xml:space="preserve">(50) According to Article 70 of the LP, “the holder of a patent may exercise before the judicial bodies the actions that correspond, regardless of their class and nature, against those who infringe their right and demand the necessary measures for its safeguarding.”  </w:t>
        <w:br/>
        <w:t xml:space="preserve">(51) In the case of pharmaceutical patents, there is the possibility of extending the protection for an additional period of 5 years through a different legal title, called a Supplementary Protection Certificate (CCP).27 This figure responds to the fact that pharmaceutical or plant protection products must obtain, before being placed on the market, a marketing authorization whose processing may reduce the effective period of protection conferred by the patent. The Supplementary Protection Certificate aims to compensate for this reduction in the effective time of protection.  </w:t>
        <w:br/>
        <w:t xml:space="preserve">(52) The CCP is an industrial property title that extends, for a maximum period of five years, the protection conferred by a patent to an active ingredient or combination of active ingredients present in a pharmaceutical or plant protection product, after the patent has expired.  </w:t>
        <w:br/>
        <w:t xml:space="preserve">(53) A CCP confers the same rights as the patent and protects specific pharmaceutical or plant protection products that, while previously protected by a basic patent, have received a marketing authorization, as well as any use of them while the CCP is in force. The CCP comes into effect when the patent expires.  </w:t>
        <w:br/>
        <w:t xml:space="preserve">III.2.B. Procedural specialties applicable to patents  </w:t>
        <w:br/>
        <w:t xml:space="preserve">(54) The legal protection of patents is subject to certain procedural specialties that represent a particularity compared to other rights of a patrimonial nature. There are specialized courts that handle infringement proceedings referred to in this resolution, as well as fact-finding proceedings and precautionary measures.  </w:t>
        <w:br/>
        <w:t xml:space="preserve">Specialized Courts  </w:t>
        <w:br/>
        <w:t xml:space="preserve">Article 86 ter of Organic Law 6/1985, of July 1, on the Judiciary28 (hereinafter, LOPJ), in its section 2.a) assigns to the Commercial Courts the knowledge of claims in which actions related to industrial property are exercised.  </w:t>
        <w:br/>
        <w:t xml:space="preserve">However, not all Commercial Courts handle patent infringement claims. The LP states, in its Article 118.2, that for the knowledge of civil disputes that may arise under the LP, the Commercial Judge of the city where the Superior Court of Justice of those Autonomous Communities is located, in which the General Council of the Judiciary has agreed to exclusively assign the knowledge of patent matters, will be objectively competent.  </w:t>
        <w:br/>
        <w:t>(55) In Spain, there are 94 Commercial Courts in operation29. Of these, only fifteen handle patent infringement claims. Under the regulatory authorization provided for in Article 98 LOPJ, the General Council of the Judiciary has exclusively assigned the objective competence to know civil disputes arising from the Patent Law to specific Commercial Courts located in Madrid, Barcelona, Valencia, Las Palmas de Gran Canaria, Bilbao, and A Coruña30. This concentration of matters in a few courts</w:t>
      </w:r>
    </w:p>
    <w:p>
      <w:r>
        <w:rPr>
          <w:b/>
        </w:rPr>
        <w:t>[Pages 16–18]</w:t>
      </w:r>
    </w:p>
    <w:p>
      <w:r>
        <w:t xml:space="preserve">S/0026/19  </w:t>
        <w:br/>
        <w:t xml:space="preserve">MERCK SHARP DOHME, S.A.  </w:t>
        <w:br/>
        <w:t xml:space="preserve">favors a certain specialization, which results in a more effective protection of patent rights.  </w:t>
        <w:br/>
        <w:t xml:space="preserve">Fact Verification Proceedings  </w:t>
        <w:br/>
        <w:t xml:space="preserve">(56) The fact verification proceedings (DCH) are an action aimed at allowing an individual to obtain information held by another, including access to documents or the possibility of inspecting another's facilities, upon prior court order. This type of procedure is also known as an "Anton Piller order." The DCH are of great importance in patent infringement proceedings, as they allow the patent holder to obtain evidence that could not otherwise be obtained. Given that patent infringement processes are of a civil nature, the burden of alleging the necessary facts for filing the lawsuit falls on the plaintiff. Through the DCH, the patent holder obtains judicial assistance to examine means that are not within their reach, being able, for example, to access confidential documentation or to examine in situ manufacturing processes that are not accessible without judicial authorization.  </w:t>
        <w:br/>
        <w:t xml:space="preserve">(57) Its specific legal regime - under the referral made by Law 1/2000, of Civil Procedure (hereinafter, LEC) in its article 256.1.9º31 - is provided for in the LP, arts 123 to 126. The most relevant particularities of this system are its open nature, as the LP allows the adoption of any measure that enables the verification of "facts that may constitute a violation of the exclusive right granted by the patent." This open nature of the DCH is in itself a specialty of patent law, as opposed to the general regime of the LEC, which establishes a closed list of possible preliminary proceedings32.  </w:t>
        <w:br/>
        <w:t xml:space="preserve">(58) According to article 123.3 LP, the practice of the proceedings may only be agreed upon when, given the circumstances of the case, the infringement of the patent is presumable and it is not possible to verify its reality without resorting to the requested proceedings. Thus, DCH are not applicable if there is an alternative means to verify whether or not there is patent infringement.  </w:t>
        <w:br/>
        <w:t xml:space="preserve">of Granada, Commercial Courts numbers 1 of Las Palmas de Gran Canaria, Commercial Court number 1 of A Coruña and Commercial Court number 2 of Bilbao. The updated relationship as of the date of this resolution can be consulted in the Agreement of October 18, 2018, of the Permanent Commission of the General Council of the Judiciary, which extends the Agreement of February 2, 2017, which exclusively assigns the knowledge of civil matters that may arise under Law 24/2015, of July 24, on Patents, Law 17/2001, of December 7, on Trademarks, and Law 20/2003, of July 7, on Legal Protection of Industrial Design, to various Commercial Courts of Andalusia, the Canary Islands, Galicia, and the Basque Country. Published in the Official State Gazette, number 275, dated November 14, 2018. "BOE" no. 275, of November 14, 2018, pages 11.0772 to 11.0773 (2 pages.)  </w:t>
        <w:br/>
        <w:t xml:space="preserve">31 Law 1/2000, of January 7, on Civil Procedure "BOE" no. 7, of 08/01/2000.  </w:t>
        <w:br/>
        <w:t xml:space="preserve">32 Article 256.1 LEC.  </w:t>
        <w:br/>
        <w:t xml:space="preserve">National Commission of Markets and Competition 16 of 158  </w:t>
        <w:br/>
        <w:t xml:space="preserve">C/ Alcalá, 47 – 28014 Madrid - C/ Bolivia, 56 – 08018 Barcelona  </w:t>
        <w:br/>
        <w:t>www.cnmc.es</w:t>
      </w:r>
    </w:p>
    <w:p>
      <w:r>
        <w:t xml:space="preserve">S/0026/19  </w:t>
        <w:br/>
        <w:t xml:space="preserve">MERCK SHARP DOHME, S.A.  </w:t>
        <w:br/>
        <w:t xml:space="preserve">(59) The party requesting the DCH must demonstrate the concurrence of these two requirements, which must be assessed by the judge, who will resolve by reasoned order.  </w:t>
        <w:br/>
        <w:t xml:space="preserve">(60) Regarding the requirement that, for the adoption of the DCH "the infringement of the patent must be presumable," the Order number 232/2007 of the Provincial Court of Barcelona (Section 15), dated July 19 (AC 2008/755) states:  </w:t>
        <w:br/>
        <w:t xml:space="preserve">"b) that by the circumstances of the case, the violation of the patent is presumable, that is, that there are indications of the alleged infringement." The rule excludes the automatism of the measure (art. 129.4 LP) imposing prior judicial control in order to verify the just cause for resorting to this instrument, which determines that the applicant must provide the precise data to presume the reality of the infringement to a degree of probability, according to circumstantial judgment ("given the circumstances of the case"). That is, it is not required of the party requesting the DCH to prove the existence of patent infringement. If that were the case, the DCH would not be necessary.  </w:t>
        <w:br/>
        <w:t xml:space="preserve">(61) The second requirement for the adoption of DCH is "that it is not possible to verify the reality of the unlawful behavior without resorting to the fact verification proceedings." This requirement makes sense because the DCH require judicial intervention. Also because the DCH imply an intrusion into the private sphere or even into the trade secrets of the affected party, which can become burdensome, so they must be governed by a principle of necessity and proportionality. This means that this measure will only be resorted to if it is essential. In other words, the DCH will not be necessary if the patent holder has means to verify for themselves whether or not there is patent infringement.  </w:t>
        <w:br/>
        <w:t xml:space="preserve">(62) The fact verification proceedings in patents are not subject to the principle of contradiction. Unlike the general regime provided in the LEC (whose article 259 provides for the transfer of the order to the interested party), article 124 of the LP provides that the proceedings will be carried out without prior notification to those who must bear them. The reason (according to the Explanatory Memorandum of the LP) is to not frustrate their good end, for which the "element of surprise" is an essential factor. Another manifestation of the absence of contradiction lies in the impossibility for the person required to oppose the practice of the proceedings. In patent matters, article 260 of the LEC does not apply, which allows opposition to the practice of the proceedings. Article 124.5 of the LP states that no appeal will be granted against the Judge's decision on the result of the proceedings carried out.  </w:t>
        <w:br/>
        <w:t xml:space="preserve">(63) For the practice of the proceedings, the concurrence of an expert designated by the Judge is necessary (art. 124.1 LP). This mandatory intervention of an expert in the fact verification proceedings is another specialty of patent law, as opposed to the general regime provided in article 335.1 LEC, which confines expertise to cases where scientific, artistic, technical, or practical knowledge is necessary to assess relevant facts or circumstances in the matter or to acquire certainty about them. This obligation for expert intervention is determined by the technical complexity inherent in patent proceedings since, in Spain, unlike other jurisdictions, there are no patent judges with technical training33. Thus, the expert who intervenes in the DCH does so to assist the Judge in their verification task.  </w:t>
        <w:br/>
        <w:t xml:space="preserve">(64) The expert report is fundamental for the Judge to form a conviction about the facts subject to verification. The expert who intervenes in the fact verification proceedings is a court-appointed expert, which has consequences especially regarding the duty of objectivity that must inspire their actions. The LEC clearly distinguishes in its arts. 335 to 352 between experts appointed by the parties and experts appointed by the Judge. Article 124.1 of the LP states "in the verification proceeding, the Judge, with the intervention of the expert or experts designated for that purpose," which refers to the court-appointed expert.  </w:t>
        <w:br/>
        <w:t xml:space="preserve">(65) The duty of objectivity to which the expert in the DCH is subject is a factor that balances the initially disadvantaged position of the party bearing the DCH, as these are agreed upon urgently, without hearing the other party, without the possibility of appeal, and before entering into the merits of the matter.  </w:t>
        <w:br/>
        <w:t xml:space="preserve">(66) These circumstances justify that the expert who must carry out the proceedings be as neutral as possible. Their method of selection, which includes the possibility of being challenged by the opposing party (articles 343 and 344 LEC), guarantees, a priori, that they are not linked to any of the parties in the litigation. Experts must take an oath or promise to tell the truth and to act with the utmost objectivity possible when issuing their opinion, taking into account both what may favor and what may cause harm to either party, according to art. 335.2 LEC.  </w:t>
        <w:br/>
        <w:t xml:space="preserve">In short, the applicant for the DCH finds themselves in a position of relative strength regarding the party that must bear them because the law prevents the affected party from opposing or appealing them. To achieve a certain balance  </w:t>
        <w:br/>
        <w:t xml:space="preserve">33 Such is the case of the Unified Patent Court, which is composed of judges with legal training. Agreement on a unified patent court (2013/C 175/01) for the resolution of disputes relating to European patents and European patents with unitary effect (art. 15).  </w:t>
        <w:br/>
        <w:t xml:space="preserve">National Commission of Markets and Competition 18 of 158  </w:t>
        <w:br/>
        <w:t xml:space="preserve">C/ Alcalá, 47 – 28014 Madrid - C/ Bolivia, 56 – 08018 Barcelona  </w:t>
        <w:br/>
        <w:t>www.cnmc.es</w:t>
      </w:r>
    </w:p>
    <w:p>
      <w:r>
        <w:rPr>
          <w:b/>
        </w:rPr>
        <w:t>[Pages 19–21]</w:t>
      </w:r>
    </w:p>
    <w:p>
      <w:r>
        <w:t xml:space="preserve">S/0026/19  </w:t>
        <w:br/>
        <w:t xml:space="preserve">MERCK SHARP DOHME, S.A.  </w:t>
        <w:br/>
        <w:t xml:space="preserve">The procedural equality between the parties (a principle known as equality of arms) is fundamental to the objectivity of the expert appointed by the court. The expert in the DCH follows the instructions of the judge, meaning that they must issue their expert report within the terms established by the judge. This is a distinguishing element from party experts, whose involvement in the process supports the claims of one of the parties. In the case of the DCH, the expert is subject to a duty of objectivity. Since the judge does not possess technical knowledge, their decision at the end of the fact-finding proceedings will be absolutely conditioned by the expert's report. Hence, the necessity for the expert to act neutrally.  </w:t>
        <w:br/>
        <w:t xml:space="preserve">(67) In light of the result of the expert report, if the Judge considers that it is not presumable that the patent infringement is occurring, they will terminate the proceedings, order that a separate piece be formed which will include the proceedings, which will remain confidential, and direct the Court Secretary to notify the petitioner that the result of the proceedings will not be disclosed to them (art. 124.2 and 3 LP).  </w:t>
        <w:br/>
        <w:t xml:space="preserve">If infringement is presumable, the Judge, with the intervention of the expert or experts designated for this purpose, will carry out a detailed description of the machines, devices, products, procedures, installations, or actions through which the alleged infringement is presumably taking place (art. 124.3 LP). According to Article 125.1, the Judge will issue a certification. The applicant may only use this documentation to file the legal action, with a prohibition on disclosing or communicating it to third parties.  </w:t>
        <w:br/>
        <w:t xml:space="preserve">(68) In summary, the fact-finding proceedings are preparatory in nature to verify whether there is patent infringement; they may only be adopted if there is no alternative means of verification, are carried out by the Judge, and the intervention of a court-appointed expert who is subject to a special duty of objectivity and neutrality is mandatory. In this procedure, there is no possibility of opposition or appeal by the party that must endure the fact-finding proceedings.  </w:t>
        <w:br/>
        <w:t xml:space="preserve">Precautionary Measures  </w:t>
        <w:br/>
        <w:t xml:space="preserve">(69) Precautionary measures are judicial provisions that are adopted either before or during the course of the process and aim to guarantee the effectiveness of the future judgment, preventing the passage of time inherent in the duration of a judicial process from thwarting its successful outcome. According to Article 721.1 of the LEC, “under their responsibility, any plaintiff, whether principal or counterclaiming, may request from the court, in accordance with the provisions of this Title, the adoption of precautionary measures that they deem necessary to ensure the effectiveness of the judicial protection that may be granted in the favorable judgment that is issued.”  </w:t>
        <w:br/>
        <w:t xml:space="preserve">(70) For this reason, in the scheme designed by the legislator, as provided in the LEC (arts. 721 et seq.), precautionary measures are inextricably linked to the idea of “periculum in mora,” that is, to the fact that the time elapsed during the processing of the judicial process may jeopardize the content of the claim.  </w:t>
        <w:br/>
        <w:t xml:space="preserve">(71) The Explanatory Memorandum of the LEC states:  </w:t>
        <w:br/>
        <w:t xml:space="preserve">“The 'fumus boni iuris' or appearance of good right, the danger of procedural delay, and the provision of security are, of course, essential fundamental factors for the adoption of precautionary measures. The instrumental nature of precautionary measures concerning the judgment that may grant specific protection, and therefore, the accessory and provisional nature of the measures are sufficiently guaranteed with appropriate norms.”  </w:t>
        <w:br/>
        <w:t xml:space="preserve">(72) The legislator's intention is that precautionary measures have an accessory and instrumental character to the main litigation and do not become an end in themselves. Continuing with the Explanatory Memorandum of the LEC, it states:  </w:t>
        <w:br/>
        <w:t xml:space="preserve">“Specific provisions are sought to ensure that precautionary measures are not sought for their own sake, as the exclusive or primary end of procedural activity. (…) Although necessary to avert the 'periculum in mora,' precautionary measures do entail, as is known, other dangers and risks. Thus, it is also necessary to carefully regulate, and this has been intended in this Law, the opposition to precautionary measures, their reasonable substitution, review, and modification, and the possible counter-securities or measures that neutralize or weaken the precautionary measures, making them unnecessary or less burdensome.”  </w:t>
        <w:br/>
        <w:t xml:space="preserve">(73) The LP provides in its Article 127 that:  </w:t>
        <w:br/>
        <w:t xml:space="preserve">“Anyone who exercises or is going to exercise an action provided for in this Law may request from the judicial body that is to understand it the adoption of precautionary measures aimed at ensuring the effectiveness of such actions, in accordance with the provisions of the same and in Law 1/2000, of January 7, on Civil Procedure.”  </w:t>
        <w:br/>
        <w:t xml:space="preserve">(74) Article 128 of the LP lists the different precautionary measures that may be requested (emphasis added):  </w:t>
        <w:br/>
        <w:t xml:space="preserve">“cessation of acts that may infringe the petitioner's right or their prohibition, when there are rational indications to suppose the imminence of such acts; retention and deposit of the goods allegedly infringing the rights of the patent holder and of the means exclusively intended for such production or for carrying out the patented procedure; the securing of potential compensation for damages and the necessary registration annotations.”  </w:t>
        <w:br/>
        <w:t xml:space="preserve">(75) According to Article 730 of the LEC, precautionary measures will generally be requested together with the main claim. Precautionary measures may also be requested before the claim if the person requesting them at that moment alleges and proves reasons of urgency or necessity. In this case, the measures that have been agreed upon will become ineffective if the claim is not presented before the same Court that heard the request for them within twenty days following their adoption.  </w:t>
        <w:br/>
        <w:t xml:space="preserve">(76) This possibility of requesting precautionary measures before the main action is also provided for in Article 131.1 LP, which states:  </w:t>
        <w:br/>
        <w:t xml:space="preserve">“in the case of requesting precautionary measures before exercising the main action, they will become entirely ineffective if the claim is not presented within the period provided by Article 730.2 of Law 1/2002, of January 7, on Civil Procedure.”  </w:t>
        <w:br/>
        <w:t xml:space="preserve">(77) Finally, the LEC provides for the possibility of requesting and obtaining precautionary measures inaudita parte. Thus, although Article 733.1 of the LEC states that:  </w:t>
        <w:br/>
        <w:t xml:space="preserve">“as a general rule, the court will provide for the request for precautionary measures after hearing the defendant,” the second paragraph of that Article 733 LEC (drafted by Law 19/2006, of June 5, which expands the means of protection of intellectual and industrial property rights), allows for the adoption of precautionary measures without hearing the parties “when the applicant so requests and proves that there are reasons of urgency or that the prior hearing may compromise the successful outcome of the precautionary measure.”  </w:t>
        <w:br/>
        <w:t xml:space="preserve">(78) In the case that a precautionary measure is adopted inaudita parte, the LEC (art. 733.2) indicates that it must be reasoned separately regarding the concurrence of the requirements of the precautionary measure and the reasons that advised its agreement without hearing the defendant.  </w:t>
        <w:br/>
        <w:t xml:space="preserve">(79) According to Article 739 LEC, in cases where the precautionary measure has been adopted without prior hearing of the defendant, they may file opposition within twenty days, counted from the notification of the order agreeing to the precautionary measures.  </w:t>
        <w:br/>
        <w:t xml:space="preserve">(80) Article 132 of the LP contemplates another of the procedural specialties specific to patent law: preventive writings to anticipate a possible request for precautionary measures:  </w:t>
        <w:br/>
        <w:t>“1. The person who foresees the filing of a request for precautionary measures without prior hearing against them may appear in legal form before the judicial body or bodies that they consider competent to hear such possible measures and justify their position through a preventive writing. The Judge or Court will agree to the formation of a precautionary measures procedure that will be notified to the patent holder and, if within three months the precautionary measures are presented, they may give the procedure the course provided in Articles 733.1 and 734.3 of the Civil Procedure Law, without this being an obstacle to the possibility of agreeing to them without further processing by order in the terms and deadlines of Article 733.2 of that Law.”</w:t>
      </w:r>
    </w:p>
    <w:p>
      <w:r>
        <w:rPr>
          <w:b/>
        </w:rPr>
        <w:t>[Pages 22–24]</w:t>
      </w:r>
    </w:p>
    <w:p>
      <w:r>
        <w:t xml:space="preserve">S/0026/19  </w:t>
        <w:br/>
        <w:t xml:space="preserve">MERCK SHARP DOHME, S.A.  </w:t>
        <w:br/>
        <w:t xml:space="preserve">(81) Although precautionary measures have a securing purpose for the claim exercised, in patent matters, there are frequent pronouncements that appeal to a anticipatory function of such measures. This already constitutes an important specialty of patent law (despite Article 726.2 LEC allowing for measures "of content similar to what is sought in the process").  </w:t>
        <w:br/>
        <w:t xml:space="preserve">(82) As stated in paragraph (74), Article 128 LP contemplates among the possible precautionary measures, the cessation of acts that may infringe the petitioner's right or their prohibition, when there are rational indications to suppose the imminence of such acts. There is no doubt that this type of precautionary measure implies an anticipatory protection of the right. In this sense, the Provincial Courts have extensively pronounced in proceedings regarding industrial property, intellectual property, and unfair competition, and can cite, by way of example, the order of the Provincial Court of Madrid dated September 11, 2008 (ECLI:ES:APM:2008:12481ª), where it states (FJ 4º):  </w:t>
        <w:br/>
        <w:t xml:space="preserve">“In the regulation of precautionary measures contained in the Law of Civil Procedure 1/2000, alongside measures that we could qualify as "traditional," measures that practically or entirely anticipate certain effects of a favorable judgment are also explicitly admitted. Article 726.2 of the Law of Civil Procedure allows for "...orders and prohibitions of content similar to what is sought in the process."; and Article 727.7º to 10º -and, by reference to measures contemplated in special laws, its section 11º-, foresee actions of equal scope and content as forced execution, which notably exceed the purpose stated in Article 726.1.1º of the Law of Civil Procedure, that is, that they are not, strictly speaking, exclusively aimed at making possible the effectiveness of the judicial protection that may be granted in a potential favorable judgment...". As the best doctrine shows, a fact that confirms the above is that the mention contained in Article 725.1.3º of the draft law, which prevented the request and adoption of precautionary measures consisting "in the same or more than what the plaintiff would obtain with the execution, in its own terms, of the judgment of condemnation sought," was not incorporated into the text of the law. Hence the admissibility of precautionary measures that have been called anticipatory, of great importance in disputes over industrial and intellectual property and unfair competition, whether based on the provisions of the Law of Civil Procedure or special laws such as the Intellectual Property Law, especially when actions for cessation or prohibition of certain conduct are exercised, since such measures guarantee the effectiveness of the right acted upon, not so much because they facilitate that the judgment that is to be rendered can be executed in due course, but because they prevent a situation that, "prima facie," presents itself as unlawful from prolonging over time, and thus aggravating the damage being caused to the plaintiff, facilitating that the execution of the judgment has the protective effect of the rights pursued by the plaintiff.”  </w:t>
        <w:br/>
        <w:t xml:space="preserve">S/0026/19  </w:t>
        <w:br/>
        <w:t xml:space="preserve">MERCK SHARP DOHME, S.A.  </w:t>
        <w:br/>
        <w:t xml:space="preserve">(83) The Order of Section 15 of the Provincial Court of Barcelona dated February 22, 2007 (AC 2007, 697) (ECLI:ES:APB:2007:111A) coincides with these pronouncements:  </w:t>
        <w:br/>
        <w:t xml:space="preserve">“Therefore, although the reality is that this summary protection does not fit exactly into the scheme of precautionary measures, since it is granted "with the temporary, provisional, conditional character and susceptible to modification and lifting provided in this Law for precautionary measures...", assuming the legislator that it is not in its essence, no matter how homogeneous it may be regarding the final execution, the truth is that these anticipatory measures (...) cover an objective need, since there are cases in which a right worthy of protection cannot be adequately safeguarded if the obtaining of the corresponding title must precede the time that the declaration process generally requires for its processing, which can make the sought pronouncement illusory, which is especially important in the field of the temporary protection granted by patents, even more so in cases of imminent expiration, as occurs with the PFIZER patent, which expires on March 31 of this year.” (FJ 3º)  </w:t>
        <w:br/>
        <w:t xml:space="preserve">(84) In the same line, the order of the Provincial Court of Madrid dated May 29, 2007 (JUR 2007, 321899) (ECLI:ES:APM:2007:8877A) emphasizes that in the field of intangible goods, precautionary measures that anticipate what is requested in the claim are admitted without this infringing the regulatory framework of precautionary measures (which are traditionally intended to ensure the effectiveness of the resolution that is to be adopted in the judgment that definitively resolves the dispute).  </w:t>
        <w:br/>
        <w:t xml:space="preserve">III.2.C. Relationship between the regulations on industrial property and the regulations in the pharmaceutical sector  </w:t>
        <w:br/>
        <w:t xml:space="preserve">(85) The protection conferred by patents and the data exclusivity conferred by health regulations are independent of each other. When AEMPS authorizes the marketing of a drug, it does so without assessing the rights or patent conflicts, which are private matters of third parties, and do not have a health character.34  </w:t>
        <w:br/>
        <w:t xml:space="preserve">(86) There is a very common confusion that equates original drugs (also called innovative) with drugs protected by patents and that, at the same time, identifies generic drugs with drugs that are not protected by patent rights. However, this full assimilation is not correct.  </w:t>
        <w:br/>
        <w:t xml:space="preserve">(87) According to the Spanish Agency of Medicines and Medical Devices (AEMPS) “for agencies to accept a request for authorization of a generic drug that is based on the evidence of efficacy and safety of the corresponding innovative or reference drug, it must have already been on the European market for a certain number of years. In this way, on one hand, drugs developed with expired patent molecules are protected, and on the other hand, only generics of drugs with extensive usage experience and knowledge of their characteristics and benefit/risk profile are marketed” 35.  </w:t>
        <w:br/>
        <w:t xml:space="preserve">(88) The protection conferred by the patent and the data exclusivity address different criteria that are provided for, respectively, in patent regulations and health regulations. It is possible for an original drug to be protected by patent rights or not. It is also possible for a generic drug to have its own patent, which is independent and distinct from that of the reference drug.  </w:t>
        <w:br/>
        <w:t xml:space="preserve">Therefore, the entry of a generic drug into the market is marked by the expiration of two independent periods: on one hand, the data protection that applies to drug agencies and, on the other hand, the protection granted by patent law.36  </w:t>
        <w:br/>
        <w:t xml:space="preserve">Consequently, it is possible to obtain a marketing authorization for a generic drug even when the original drug is protected by a patent. In this way, the legislation itself allows the generic manufacturer to enter the market thanks to an authorization granted during the protection period of the original drug patent.  </w:t>
        <w:br/>
        <w:t xml:space="preserve">(89) In cases where the innovative drug is protected by its patent rights, patent regulations do not consider preparatory acts for a health authorization as infringement. According to Article 61.1 c) LP, the rights conferred by the patent do not extend to:  </w:t>
        <w:br/>
        <w:t xml:space="preserve">“the carrying out of the studies and trials necessary to obtain the marketing authorization of drugs in Spain or outside of Spain, and the consequent practical requirements, including the preparation, obtaining, and use of the active ingredient for these purposes.”  </w:t>
        <w:br/>
        <w:t>(90) Therefore, it is possible to introduce a product into the market the day after the expiration of the patent, since the prior trials are not considered an infringing conduct of the patent. This exception, referred to as the “clause</w:t>
      </w:r>
    </w:p>
    <w:p>
      <w:r>
        <w:rPr>
          <w:b/>
        </w:rPr>
        <w:t>[Pages 25–27]</w:t>
      </w:r>
    </w:p>
    <w:p>
      <w:r>
        <w:t xml:space="preserve">S/0026/19  </w:t>
        <w:br/>
        <w:t xml:space="preserve">MERCK SHARP DOHME, S.A.  </w:t>
        <w:br/>
        <w:t xml:space="preserve">"Bolar" allows the application for authorization of a drug before the Spanish Agency of Medicines and Health Products not to be considered an infringement of the patent.  </w:t>
        <w:br/>
        <w:t xml:space="preserve">(91) Furthermore, it must be taken into account that, as already indicated in paragraph (36), the applicant will not be obliged to provide the results of the established preclinical and clinical trials if it can demonstrate that the drug is a generic of a reference drug that has been authorized for at least eight years in any Member State of the European Union, or by the European Union, even when the reference drug was not authorized in Spain.  </w:t>
        <w:br/>
        <w:t xml:space="preserve">Although such studies and trials are not considered infringing acts by express legal provision of the LP, there are other procedures linked to the authorization process of a generic drug that have been considered indications of imminent marketing and that, therefore, could justify the adoption of precautionary measures in accordance with Article 128 LP.  </w:t>
        <w:br/>
        <w:t xml:space="preserve">Thus, for example, the Order of Section 15 of the Provincial Court of Barcelona, No. 56/2013, dated April 23, 2013, (ECLI:ES:APB:2013:1148A) in which the anticipation with which the administrative file was initiated in relation to the expiration date of the patent was appreciated as a manifestation of imminent marketing by the defendant, "without a convincing justification being offered as to why it requested authorization so far in advance of the expiration date of the patents."  </w:t>
        <w:br/>
        <w:t xml:space="preserve">IV. ESTABLISHED FACTS  </w:t>
        <w:br/>
        <w:t xml:space="preserve">(92) MSD has been the holder of the first combined hormonal vaginal ring contraceptive, commercially known as "Nuvaring," protected by European patent EP 876 815 B1 (hereinafter "EP’815") and by its Spanish patent ES 2171283. The patent expired on April 9, 2018.  </w:t>
        <w:br/>
        <w:t xml:space="preserve">(93) The AEMPS authorized the marketing of Nuvaring in February 2002, so MSD has manufactured, distributed, and marketed this product exclusively from February 2002 until August 2017.  </w:t>
        <w:br/>
        <w:t xml:space="preserve">(94) On that date, the AEMPS authorized Ornibel and, therefore, the first generic vaginal ring could enter the Spanish market for combined hormonal contraceptives.  </w:t>
        <w:br/>
        <w:t xml:space="preserve">IV.1. The MSD Patent  </w:t>
        <w:br/>
        <w:t xml:space="preserve">(95) MERCK SHARP &amp; DOHME, BV is the holder of the European patent "EP’815," the main patent that protects the contraceptive ring that MSD markets under the trade name "Nuvaring." The patent was validated in Spain under publication number ES 2.171.283 T3 (ES’283), a translation of the one registered with the European Patent Office (EPO).  </w:t>
        <w:br/>
        <w:t xml:space="preserve">(96) The patent EP’815 was applied for on April 9, 1998, by the Dutch company Akzo Nobel N.V., with a priority date of April 11, 1997. The grant of patent ES’283 and its translation into Spanish were published in January and September 2002, respectively.  </w:t>
        <w:br/>
        <w:t xml:space="preserve">(97) On June 12, 2017, an exclusive license of the MSD patent in favor of MERCK SHARP &amp; DOHME DE ESPAÑA, S.A. (MSD) (license number 201730012) was registered with the OEPM.  </w:t>
        <w:br/>
        <w:t xml:space="preserve">(98) The expiration of said patent on April 9, 2018, occurred due to the passage of twenty years from the date of filing of the application. Therefore, until the expiration date of the patent (April 9, 2018), MSD was the only company that could manufacture and market in Spain the product with all the technical characteristics claimed in the patent.  </w:t>
        <w:br/>
        <w:t xml:space="preserve">(99) For the purposes of this proceeding, claim 1 is of interest, which defines the scope of protection of the Nuvaring patent in the following terms:  </w:t>
        <w:br/>
        <w:t xml:space="preserve">"1. A drug delivery system comprising at least one compartment having a thermoplastic polymer core and a thermoplastic polymer skin covering the core, the core comprising a mixture of progestogenic steroid compound and estrogenic steroid compound in a weight ratio that allows for direct release from said polymer of both compounds, said progestogenic compound and said estrogenic compound, in the physiologically required amounts, with said progestogenic compound initially dissolved in said polymer core material at a relatively low degree of supersaturation."  </w:t>
        <w:br/>
        <w:t xml:space="preserve">(100) The description of ES ‘283 explains that the saturation concentration of the progestogen in the polymer can be determined by known methods:  </w:t>
        <w:br/>
        <w:t xml:space="preserve">"the saturation concentration of the steroid can be determined by various known methods in the specialty. For example, the thermoplastic polymer is introduced into a saturated solution of the steroid (which contains added steroid crystals) at 25ºC and is maintained in the saturated solution until the concentration of the steroid in the polymer remains constant. Another suitable method for determining the saturation concentration is the so-called retardation method" (page 4, paragraph 61 and following of the description).  </w:t>
        <w:br/>
        <w:t xml:space="preserve">(101) As already indicated in paragraph (49), according to Article 68.1 LP, the scope of protection conferred by the patent or patent application is determined by the claims. The description and drawings will serve to interpret the claims. Therefore, it is also appropriate to quote a fragment of the description:  </w:t>
        <w:br/>
        <w:t xml:space="preserve">"the present invention is based on the surprising finding that a steroid can be retained in a supersaturated state during prolonged storage (such as 6 months or longer) at a temperature between 4ºC and 25ºC, provided that the concentration of the steroid does not excessively exceed the solubility at 25ºC. Naturally, the allowed excess is determined by the lowest storage temperature, the steroid compound, and the thermoplastic polymer that includes any of the additional compounds present (co-solvent effect). If said excess, however, exceeds the permitted limits, the steroid crystallizes on the surface of the vaginal ring. This finding allows for the easy manufacture of a vaginal ring and for this ring to provide a reliable and predictable release of the steroid compounds. In contrast to known vaginal rings that comprise a fluid core containing steroid, the solid thermoplastic core of the present vaginal ring does not carry the risk of loss of the fluid containing the steroid, for example, due to a seal failure. Furthermore, the present vaginal rings can be manufactured by extrusion techniques easily and cheaply. This overcomes the manufacture of a complicated device, that is, one comprising compartments that differ in the number of layers and in the composition of the steroid."  </w:t>
        <w:br/>
        <w:t>(102) From the above, it follows that the storage temperature of the ring between 4ºC and 25ºC is an essential element in patent EP’815, derived from the procedure described in the patent to maintain the steroid in a slightly supersaturated state for a period of 6 or more months.</w:t>
      </w:r>
    </w:p>
    <w:p>
      <w:r>
        <w:rPr>
          <w:b/>
        </w:rPr>
        <w:t>[Pages 28–30]</w:t>
      </w:r>
    </w:p>
    <w:p>
      <w:r>
        <w:t xml:space="preserve">S/0026/19  </w:t>
        <w:br/>
        <w:t xml:space="preserve">MERCK SHARP DOHME, S.A.  </w:t>
        <w:br/>
        <w:t xml:space="preserve">(103) Regarding this fact, MSD raises the allegation that cold storage is not an essential characteristic of the NUVARING patent43. However, this assertion is contradicted by the very description of the patent referenced in the previous paragraphs, as if the storage limits are exceeded, the steroid crystallizes on the surface of the vaginal ring, preventing it from fulfilling its function of controlled release during the usage period.  </w:t>
        <w:br/>
        <w:t xml:space="preserve">(104) Regarding the essentiality of the cold storage of the ring, it is also supported by two judicial decisions: on one hand, the Order of the Commercial Court No. 5 of Barcelona dated December 12, 2017, which states, in the proven facts:  </w:t>
        <w:br/>
        <w:t xml:space="preserve">"The absence of special low-temperature storage conditions for the LF ring indicates that the ETO (etonogestrel) in the core of the ring is not oversaturated and, thus, does not tend to crystallize on the surface of the ring device"44.  </w:t>
        <w:br/>
        <w:t xml:space="preserve">(105) Also, the Order 145/2018 of Section No. 15 of the Provincial Court of Barcelona dated November 13, 201845 attributed an essential character to cold storage:  </w:t>
        <w:br/>
        <w:t xml:space="preserve">"While the expert report of the defendant is supported, apart from the expert's own reputation (a true expert in the field), it is also confirmed (at least apparently, which is sufficient for these purposes) by two objective data; the fact that the allegedly infringing product does not require cold storage (a fact that derives from its technical data sheet), which, according to the teachings of the patent itself, allows us to rule out that the defendant's product meets the disputed characteristic."  </w:t>
        <w:br/>
        <w:t xml:space="preserve">(106) The marketing of MSD's ring was authorized on February 21, 2002, by the AEMPS under the trade name "Nuvaring," registration number 64570, marketed under the name "Nuvaring 0.120 MG/0.015 mg every 24 hours, vaginal release system" (hereinafter, 'Nuvaring')46. According to the aforementioned technical data sheet, each ring contains 11.7 mg of etonogestrel and 2.7 mg of ethinylestradiol. The ring releases etonogestrel and ethinylestradiol at an average of 43 Folio 10.590. Allegations of MSD to the PR, folios 10.568 – 10.744.  </w:t>
        <w:br/>
        <w:t xml:space="preserve">44 Fact declared proven in the Order of the Commercial Court No. 5 of Barcelona dated December 12, 2017 provided by INSUD PHARMA in its complaint (folios 788 to 809) to which reference will be made later.  </w:t>
        <w:br/>
        <w:t xml:space="preserve">45 Legal Basis Third of Order 145/2018 of the Provincial Court of Barcelona dated November 13, 2018 provided by INSUD PHARMA in its complaint (folios 173 to 179)  </w:t>
        <w:br/>
        <w:t xml:space="preserve">46 Information obtained from the technical data sheet published in the CIMA database of the AEMPS and incorporated into the file (folios 8002 to 8026)  </w:t>
        <w:br/>
        <w:t xml:space="preserve">https://cima.aemps.es/cima/pdfs/es/ft/64570/64570_ft.pdf  </w:t>
        <w:br/>
        <w:t xml:space="preserve">S/0026/19  </w:t>
        <w:br/>
        <w:t xml:space="preserve">MERCK SHARP DOHME, S.A.  </w:t>
        <w:br/>
        <w:t xml:space="preserve">0.120 mg of etonogestrel and 0.015 mg of ethinylestradiol respectively, every 24 hours, for a period of 3 weeks.  </w:t>
        <w:br/>
        <w:t xml:space="preserve">(107) The oversaturation of the steroid and its need for cold storage are an essential element of Nuvaring that, as such, is contemplated in its technical data sheet and is deduced from its patent. Also, according to the indications of the same technical data sheet, Nuvaring must follow special storage conditions, before being dispensed, in a refrigerator (between 2 and 8 degrees Celsius), and once dispensed, at a temperature below 30 degrees Celsius.  </w:t>
        <w:br/>
        <w:t xml:space="preserve">IV.2. The product of INSUD PHARMA  </w:t>
        <w:br/>
        <w:t xml:space="preserve">(108) On June 9, 2017, the AEMPS granted authorization for the 'Ornibel' ring, developed by INSUD PHARMA, manufactured by LEÓN FARMA and marketed by EXELTIS, one of the subsidiaries of INSUD PHARMA.  </w:t>
        <w:br/>
        <w:t xml:space="preserve">(109) The product Ornibel47 0.120 mg/0.015 mg every 24 hours, vaginal release system EFG, was authorized by the AEMPS on June 9, 2017, by the AEMPS (authorization 82.125) as a generic medicine (EFG) of Nuvaring through the abbreviated procedure provided in Article 17.3 of RDL 1/2015 of 24/72 RD 1345/2007) using Nuvaring or Circlet as the reference medicine. According to the information in the technical data sheet, Ornibel does not require any special temperature for storage.  </w:t>
        <w:br/>
        <w:t xml:space="preserve">(110) Ornibel has its own patent: number WO2013/12088848, titled "drug delivery system for use in contraception comprising a core and a cover," whose application, submitted through the PCT procedure described in paragraph (46), was published by the World Intellectual Property Organization (WIPO) on August 22, 2013. As indicated in the patent document, in this invention the active ingredient is subsaturated and, therefore, does not tend to crystallize over time, at any temperature in practice. As a consequence, the devices of the invention  </w:t>
        <w:br/>
        <w:t xml:space="preserve">47 The technical data sheet of Ornibel, as well as the authorization documentation, can be consulted in the CIMA database of the AEMPS at the following link. Authorization documentation can also be found in the file in the CIMA database of the AEMPS. Folios 8.002-8.026.  </w:t>
        <w:br/>
        <w:t xml:space="preserve">48 Document on the publication of the patent provided by INSUD PHARMA (folios 498 to 534). This information can also be publicly obtained from the data of the European Patent Office: https://register.epo.org/application?number=EP13705955&amp;amp;lng=en&amp;amp;tab=doclist. The Spanish translation is available on the website of the Spanish Patent and Trademark Office (OEPM) at the following link: http://www.oepm.es/pdf/ES/0000/000/02/73/02/ES-2730208_T3.pdf  </w:t>
        <w:br/>
        <w:t xml:space="preserve">S/0026/19  </w:t>
        <w:br/>
        <w:t xml:space="preserve">MERCK SHARP DOHME, S.A.  </w:t>
        <w:br/>
        <w:t xml:space="preserve">are stable when stored at room temperature over prolonged periods, particularly for at least 6 months. This has the advantage that the devices do not require costly transportation and storage below room temperature."  </w:t>
        <w:br/>
        <w:t xml:space="preserve">(111) According to the description in the patent brochure, the saturation concentration of the active ingredient in polyurethane can be determined by several well-known methods in the art. That is, there are different experimental tests known and executable by an expert in the field to ascertain the degree of concentration of the active ingredient.  </w:t>
        <w:br/>
        <w:t xml:space="preserve">IV.3. The degree of saturation of the active ingredient as a controversial element  </w:t>
        <w:br/>
        <w:t xml:space="preserve">(112) To compare MSD's ring with that of INSUD PHARMA, it is necessary to do so from two different perspectives: from the medical perspective, which is relevant for health authorization purposes, and from the technical perspective, which is relevant for patent disputes.  </w:t>
        <w:br/>
        <w:t xml:space="preserve">(113) From the medical perspective, Nuvaring and Ornibel are similar, as both use the same active ingredients (etonogestrel and ethinylestradiol), the same pharmaceutical form (vaginal ring), and the same safety and efficacy profile. They are two products that administer the active ingredient in the same way through a ring that, during its use, releases the active ingredient. These similarities are what led the AEMPS to declare the bioequivalence of Ornibel with respect to Nuvaring referenced in paragraph (109).  </w:t>
        <w:br/>
        <w:t xml:space="preserve">(114) From the technical perspective, both products are different, as they present significant differences regarding the components (specifically, the type of polymer used) and the degree of saturation of etonogestrel in the core of the polymer. This conclusion is drawn from a comparative reading of the patent documents that protect the respective rings, to which relevant elements are referenced in paragraphs (99) and following regarding the Nuvaring patent and (110) and following regarding the Ornibel patent.  </w:t>
        <w:br/>
        <w:t>(115) The differences between both products are two. On one hand, the type of polymer used and, on the other, the level of saturation of etonogestrel in the polymer. Regarding the level of saturation, it refers to how the active ingredient is dissolved in the polymer: if etonogestrel is dissolved in the polymer below the saturation concentration, the polymer is said to be subsaturated, and if, on the contrary, it is dissolved above the saturation concentration, it will be oversaturated.</w:t>
      </w:r>
    </w:p>
    <w:p>
      <w:r>
        <w:rPr>
          <w:b/>
        </w:rPr>
        <w:t>[Pages 31–33]</w:t>
      </w:r>
    </w:p>
    <w:p>
      <w:r>
        <w:t xml:space="preserve">S/0026/19  </w:t>
        <w:br/>
        <w:t xml:space="preserve">MERCK SHARP DOHME, S.A.  </w:t>
        <w:br/>
        <w:t xml:space="preserve">(116) As indicated in paragraph (101), according to patent ES ‘283, in Nuvaring, etonogestrel is present in the core of the ring “at a relatively low degree of supersaturation (supersaturated).” In the LF ring, however, it is undersaturated, as indicated in paragraph (110). The supersaturated nature of etonogestrel in the polymer is one of the claims of patent EP ‘815. This means that only a product that presents the same level of saturation as described in that patent will be considered an infringement of the patent 49.  </w:t>
        <w:br/>
        <w:t xml:space="preserve">(117) When the compound is supersaturated, it has a tendency to crystallize on the surface of the ring device, which affects its performance, particularly its release properties. This tendency to crystallize inherent to supersaturation requires special storage conditions for the product. For this reason, the MSD ring must be stored in a cold environment.  </w:t>
        <w:br/>
        <w:t xml:space="preserve">(118) As stated in the description of patent ES’ 283 (translation of EP’815)50: “a steroid can be retained in a supersaturated state during prolonged storage (such as 6 months or longer) at a temperature between 4_C and 25_C, provided that the concentration of the steroid does not excessively exceed the solubility at 25_C. Naturally, the allowed excess is determined by the lowest storage temperature, the steroid compound, and the thermoplastic polymer that includes any of the additional compounds present (cosolvent effect). If the aforementioned excess, however, exceeds the permitted limits, the steroid crystallizes on the surface of the vaginal ring.”  </w:t>
        <w:br/>
        <w:t xml:space="preserve">(119) In contrast, in the LF Ring, etonogestrel is not supersaturated, but undersaturated. This characteristic gives this product an advantage over Nuvaring from the perspective of its storage - it can be stored at room temperature - and, therefore, its shelf life, which turns out to be longer in the case of Ornibel.  </w:t>
        <w:br/>
        <w:t xml:space="preserve">(120) According to the description of patent WO 2013/1208851: “The inventors have found that progestins are highly soluble in the core polymer, particularly at the concentrations mentioned below. Therefore, progestins are present in a concentration that is lower than their saturation concentration, and thus the progestin does not tend to crystallize over time, at any temperature in practice. Consequently, the devices of the invention are stable when stored at room temperature over prolonged periods, particularly for at least 6 months. This has the advantage that the devices do not require costly transportation and storage below room temperature.”  </w:t>
        <w:br/>
        <w:t xml:space="preserve">(121) In that same document, it is stated: “the saturation concentration of the active ingredient in the polyurethane can be determined by several well-known methods in the art.” The patent then cites several examples for determining that concentration, all of which are executable by a person skilled in the art.52 For example, several methods are cited, including: exposing the core polymer to a continuous source of active ingredient until the core polymer is saturated as measured through serial testing. An additional method consists of saturating a flat film of polyurethane with a saturated aqueous solution of API and analyzing the film after a predetermined soaking duration. It is expected that the polyurethane will absorb the solution and swell, which in turn may influence the determined saturation concentration.  </w:t>
        <w:br/>
        <w:t xml:space="preserve">(122) That is to say, there are different experimental tests known and executable by a person skilled in the art to ascertain the degree of concentration of the active ingredient. This means that, according to the state of the art disclosed through the description of patent WO 2013/12088 in 2013, it was already technically possible to ascertain the concentration of the active ingredient in the polymer by analyzing a sample of the product. This issue is addressed in the order of the Commercial Court No. 5 of Barcelona, which will be referenced in paragraphs (169) and following.  </w:t>
        <w:br/>
        <w:t xml:space="preserve">IV.4. The judicial process initiated by MSD against INSUD  </w:t>
        <w:br/>
        <w:t xml:space="preserve">IV.4.A. Prior contacts  </w:t>
        <w:br/>
        <w:t xml:space="preserve">(123) On June 13, 2017, MSD sent a request to INSUD PHARMA, informing that the Ornibel ring infringed patent EP’ 285 of Nuvaring and requested that they confirm to MSD, within seven days and in writing, that all companies of the Chemo group would cease manufacturing, offering, importing, and marketing said ring before April 9, 2018:53  </w:t>
        <w:br/>
        <w:t xml:space="preserve">“[...] we request that you confirm in writing within the next seven days that neither Chemo España, nor León Farma, nor Exeltis Healthcare, nor any company of the Rebinare or Chemo group other than the aforementioned, will manufacture, offer, introduce into commerce or use their contraceptive vaginal rings, nor will they import or possess them for any of the aforementioned purposes, before April 9, 2018.”  </w:t>
        <w:br/>
        <w:t xml:space="preserve">In the event of a negative response, they were required to deliver to MSD five samples of the INSUD PHARMA product, as well as the additional and documentary information they requested and attached to the request, within seven days. They warned that the absence of response or a negative response would be understood as the decision to market a product that infringed MSD's patents, of which they would inform their clients so that they could take appropriate legal measures:54  </w:t>
        <w:br/>
        <w:t xml:space="preserve">“[...] in the unlikely event that your response is negative, we hereby request that within seven days you deliver five samples of the authorized vaginal rings, a written response to the questions, and the documentary information set forth in the annex of this letter [...] We warn you that if Chemo, Exeltis, or León Farma do not respond or respond negatively or evasively to this request, our clients will understand that the Kevilmare and Chemo group will initiate the marketing of their vaginal rings before April 9, 2018, and that their vaginal rings will infringe the patents of MSD BV and MSD España, so that our clients will take the relevant legal measures to protect their rights.”  </w:t>
        <w:br/>
        <w:t xml:space="preserve">(124) On June 22, 2017, INSUD PHARMA, via email, responded to the request, stating that the Ornibel ring did not infringe any of the patents cited by MSD and conditioned the delivery of the requested samples to the prior signing of a confidentiality agreement between the parties:55  </w:t>
        <w:br/>
        <w:t xml:space="preserve">“León Farma and Exeltis would be willing to consider the possibility of providing the requested samples and documentation provided that, prior to that, MS BV and MSD España confirm and guarantee expressly and formally the following points:  </w:t>
        <w:br/>
        <w:t xml:space="preserve">1) That they recognize that patents EP´815 and EP´520 cannot be implemented simultaneously in the same product, and that, therefore, the manufacture/marketing of the vaginal ring by León Farma and Exeltis could not infringe both patents at the same time.  </w:t>
        <w:br/>
        <w:t xml:space="preserve">2) That they recognize that if the requested samples and documentation show that what we have stated [...] is true, then none of the invoked patents would be infringed and, consequently, they would abandon their claim and would not sue either León Farma or Exeltis.  </w:t>
        <w:br/>
        <w:t xml:space="preserve">3) That they agree to negotiate in good faith a confidentiality agreement to protect the samples and documentation.”  </w:t>
        <w:br/>
        <w:t xml:space="preserve">54 Request from MSD dated June 13, 2017 submitted by INSUD PHARMA in the complaint (folios 635 to 641).  </w:t>
        <w:br/>
        <w:t>55 Email dated June 22, 2017 submitted by INSUD PHARMA in the complaint (folios 642 to 644) and MSD in its response to the request for information (folios 1.010 to 1.913 of the file).</w:t>
      </w:r>
    </w:p>
    <w:p>
      <w:r>
        <w:rPr>
          <w:b/>
        </w:rPr>
        <w:t>[Pages 34–36]</w:t>
      </w:r>
    </w:p>
    <w:p>
      <w:r>
        <w:t xml:space="preserve">S/0026/19  </w:t>
        <w:br/>
        <w:t xml:space="preserve">MERCK SHARP DOHME, S.A.  </w:t>
        <w:br/>
        <w:t xml:space="preserve">(125) On August 18, 2017, MSD sent a new email reiterating its willingness to provide the samples, an email that also went unanswered.  </w:t>
        <w:br/>
        <w:t xml:space="preserve">(126) On August 23, INSUD PHARMA sent MSD a draft confidentiality agreement (CDA)56, in which it expressed its agreement to provide MSD with information regarding the saturation level of etonogestrel in the core of the product, as this information was crucial—in combination with other publicly available information—to demonstrate the veracity of its claims regarding the absence of infringement.  </w:t>
        <w:br/>
        <w:t xml:space="preserve">(127) The CDA stipulated MSD's obligation to treat the disclosed information as confidential and not to use it either to initiate patent infringement actions or to file a patent application based on the disclosed information. According to the CDA, information about the product's characteristics would only be provided to assess MSD's rights concerning its patents, being limited to that purpose and under the prohibition of disclosing it for any other. The translation of clause 1.6 (own translation)57 is cited:  </w:t>
        <w:br/>
        <w:t xml:space="preserve">“1.6. The recipient agrees not to use the information about the product:  </w:t>
        <w:br/>
        <w:t xml:space="preserve">1.6.1 to file any patent infringement action (either in Spain or in any other country where the patent has been validated) against Exeltis, León Farma, any of their affiliates, licensees, or customers of those parties; or  </w:t>
        <w:br/>
        <w:t xml:space="preserve">1.6.2 to file any patent application or amend any existing patent application (including divisionals or continuations thereof).”  </w:t>
        <w:br/>
        <w:t xml:space="preserve">(128) On September 8, 2017, INSUD PHARMA reiterated to MSD the possibility of signing a confidentiality agreement in order to send the information requested by MSD regarding its ring. At that time, the ring was already marketed in pharmacies58:  </w:t>
        <w:br/>
        <w:t xml:space="preserve">“[…] More than two months have passed, and we have not received a response from you.  </w:t>
        <w:br/>
        <w:t xml:space="preserve">As your clients are well aware, Exeltis's product (Ornibel) is already available in pharmacies, so MSD can obtain the samples it wishes.  </w:t>
        <w:br/>
        <w:t xml:space="preserve">56 Folios 1.872-1.873 of the file. The confidentiality agreement is referred to by its English acronym, CDA (Confidential Disclosure Agreement).  </w:t>
        <w:br/>
        <w:t xml:space="preserve">57 CDA proposed by INSUD PHARMA (Folios 1.872-1.873) Clause 1.6. Recipient commits not to use the Product Information: 1.6.1. to file any patent infringement action (either in Spain or in any other country where the Patents have been validated) against Exeltis, León Farma, any of their Affiliates, licensees or the customers of those parties; or 1.6.2. to file any patent application or amend any existing patent application (including divisionals or continuations thereof).  </w:t>
        <w:br/>
        <w:t xml:space="preserve">58 Burofax dated September 2017 issued by the legal representatives of INSUD PHARMA to the legal representatives of MSD provided by INSUD PHARMA in the complaint (folios 645 to 648).  </w:t>
        <w:br/>
        <w:t xml:space="preserve">Comisión Nacional de los Mercados y la Competencia 34 de 158  </w:t>
        <w:br/>
        <w:t xml:space="preserve">C/ Alcalá, 47 – 28014 Madrid - C/ Bolivia, 56 – 08018 Barcelona  </w:t>
        <w:br/>
        <w:t>www.cnmc.es</w:t>
      </w:r>
    </w:p>
    <w:p>
      <w:r>
        <w:t xml:space="preserve">S/0026/19  </w:t>
        <w:br/>
        <w:t xml:space="preserve">MERCK SHARP DOHME, S.A.  </w:t>
        <w:br/>
        <w:t xml:space="preserve">On the other hand, on August 23, our clients sent MSD BV a proposal for a confidentiality agreement with a view to facilitating the information that would allow your clients to ascertain that the vaginal ring of León Farma and Exeltis is outside the scope of the mentioned patents. […]  </w:t>
        <w:br/>
        <w:t xml:space="preserve">However, to date, MSD BV has not deemed it appropriate to respond to the aforementioned proposal from León Farma and Exeltis […]”  </w:t>
        <w:br/>
        <w:t xml:space="preserve">(129) On September 19, 2017, INSUD PHARMA sent a new email to MSD offering to provide additional information upon signing a confidentiality agreement59. This fifth email also received no response.  </w:t>
        <w:br/>
        <w:t xml:space="preserve">(130) Four of the five communications offering to provide samples and technical information from INSUD overlapped in time with the judicial proceedings initiated by MSD against INSUD PHARMA, of which this company was unaware (and consequently could not react or defend itself) until September 20, 2017, as will be seen below.  </w:t>
        <w:br/>
        <w:t xml:space="preserve">IV.4.B. Fact verification proceedings.  </w:t>
        <w:br/>
        <w:t xml:space="preserve">(131) On June 27, 2017, MSD filed a request for fact verification proceedings60 before the Commercial Court No. 5 of Barcelona against INSUD PHARMA and EXELTIS HEALTHCARE, S.L., requesting judicial assistance to verify the technical characteristics and manufacturing process of the Ornibel ring.  </w:t>
        <w:br/>
        <w:t xml:space="preserve">In its submission, it justified the concurrence of the two requirements for the adoption of DCH referred to earlier in paragraphs (59) to (61): the impossibility of verifying the existence of infringement without resorting to DCH and the presumption of patent infringement.  </w:t>
        <w:br/>
        <w:t xml:space="preserve">(132) To justify the concurrence of the requirement of impossibility of verifying the existence of infringement without resorting to DCH, MSD informed the judge of the burofax it had sent to INSUD PHARMA on June 14 (which has been referenced in paragraph (123)) and provided a copy of it.  </w:t>
        <w:br/>
        <w:t xml:space="preserve">(133) However, it did not inform the judge of the response received on June 22 nor of the subsequent attempts by INSUD PHARMA to provide the samples (contacts referenced in paragraphs (124) to (129).  </w:t>
        <w:br/>
        <w:t xml:space="preserve">59 Email dated September 19, 2017, between the deputy legal advisor for intellectual property of INSUD PHARMA and an executive of MSD provided by INSUD PHARMA in the complaint (folio 652) and by MSD in its response to information requests (folio 1.919).  </w:t>
        <w:br/>
        <w:t xml:space="preserve">60 Written request for fact verification proceedings filed by MSD on June 27, 2017, provided by INSUD PHARMA in the complaint (folios 653 to 677) and by MSD in its response to the information request (folios 1477 to 1500).  </w:t>
        <w:br/>
        <w:t xml:space="preserve">Comisión Nacional de los Mercados y la Competencia 35 de 158  </w:t>
        <w:br/>
        <w:t xml:space="preserve">C/ Alcalá, 47 – 28014 Madrid - C/ Bolivia, 56 – 08018 Barcelona  </w:t>
        <w:br/>
        <w:t>www.cnmc.es</w:t>
      </w:r>
    </w:p>
    <w:p>
      <w:r>
        <w:t xml:space="preserve">S/0026/19  </w:t>
        <w:br/>
        <w:t xml:space="preserve">MERCK SHARP DOHME, S.A.  </w:t>
        <w:br/>
        <w:t xml:space="preserve">(134) MSD omitted this information and instead indicated to the judge that INSUD PHARMA had refused to provide the requested information:  </w:t>
        <w:br/>
        <w:t xml:space="preserve">“[...] On June 22, 2017, this party received a response from the lawyer of the defendants. Article 34.e) of Royal Decree 658/2001, of June 22, which approves the General Statute of the Spanish Bar, prohibits us from presenting this response in court. In any case, this party can only promise that in their response the defendants do not address our request to refrain from manufacturing and marketing their medicines until the expiration date of the patent (April 9, 2018) and do not provide either the samples of their vaginal ring, nor the information or documentation legitimately requested by this party. This refusal to provide the information forces my clients to promote the present fact verification proceedings [...].  </w:t>
        <w:br/>
        <w:t xml:space="preserve">(135) That assertion that INSUD PHARMA had refused to provide the requested information is reiterated later in the DCH request when it states:  </w:t>
        <w:br/>
        <w:t xml:space="preserve">“My clients have exhausted all means at their disposal to verify the infringing conduct and it is not possible to definitively confirm the infringement without resorting to the proceedings. There is no possibility for my clients to know, without the assistance of the defendants, the technical characteristics of the ring they intend to manufacture and market because i) the defendants have refused to provide the information and documentation requested by my clients and ii) the details of the manufacturing process must be included in the authorization file for those medicines at the AEMPS, but the AEMPS considers the file confidential and does not provide, without a court order, any information to individuals such as MSD BV and MSD España.”  </w:t>
        <w:br/>
        <w:t xml:space="preserve">(136) To justify the concurrence of the second requirement for the adoption of a DCH, namely, that patent infringement is presumable, MSD again appealed to the alleged refusal of INSUD PHARMA to provide the requested information:  </w:t>
        <w:br/>
        <w:t xml:space="preserve">“(...) the existence of objective indications that it is producing the infringement of my client's exclusive right has been established, and the most qualified and conclusive of them is the unjustified refusal of the defendants to provide the information and technical documentation to verify whether or not there is infringement of any of MSD's patents.”  </w:t>
        <w:br/>
        <w:t xml:space="preserve">(137) In its DCH request, MSD provided an expert report from ABG Patentes61, which indicated that, with the information provided by MSD and publicly available, it was impossible to conclude the existence of a patent infringement:62  </w:t>
        <w:br/>
        <w:t xml:space="preserve">61 ABG Intellectual Property is a firm specialized in industrial and intellectual property rights and patents: https://abg-ip.com/es/  </w:t>
        <w:br/>
        <w:t xml:space="preserve">62 Report from ABG Patentes annexed to the fact verification proceedings requested on June 27, 2017, by MSD provided by INSUD PHARMA on February 11, 2021 (folios 7476 to 7478).  </w:t>
        <w:br/>
        <w:t xml:space="preserve">Comisión Nacional de los Mercados y la Competencia 36 de 158  </w:t>
        <w:br/>
        <w:t xml:space="preserve">C/ Alcalá, 47 – 28014 Madrid - C/ Bolivia, 56 – 08018 Barcelona  </w:t>
        <w:br/>
        <w:t>www.cnmc.es</w:t>
      </w:r>
    </w:p>
    <w:p>
      <w:r>
        <w:rPr>
          <w:b/>
        </w:rPr>
        <w:t>[Pages 37–39]</w:t>
      </w:r>
    </w:p>
    <w:p>
      <w:r>
        <w:t xml:space="preserve">S/0026/19  </w:t>
        <w:br/>
        <w:t xml:space="preserve">MERCK SHARP DOHME, S.A.  </w:t>
        <w:br/>
        <w:t xml:space="preserve">“In relation to the infringement study of patent ES 2 171 283 regarding the vaginal ring of the Chemo Group that has been entrusted to us, we proceed to inform you that in order to carry out this study we need to have certain information about the aforementioned ring and that, in the absence of such information, we will not be able to conduct such a study.”  </w:t>
        <w:br/>
        <w:t xml:space="preserve">(138) MSD requested the judge to obtain from the AEMPS data regarding the polymer used and the manufacturing method of the LF Ring by LEÓN FARMA, asking to know:63  </w:t>
        <w:br/>
        <w:t xml:space="preserve">“a) Description of the parts into which the vaginal ring is divided (core, skin) and the possible existence of compartments within the ring and, if applicable, description of the compartments;  </w:t>
        <w:br/>
        <w:t xml:space="preserve">b) Polymer composition of the core (…)  </w:t>
        <w:br/>
        <w:t xml:space="preserve">c) Polymer composition of the skin of the vaginal ring (…)  </w:t>
        <w:br/>
        <w:t xml:space="preserve">d) Identification of the progestogenic compound, the estrogenic compound, as well as any possible progestogenic compound, in case the ring had different compartments. This information should be provided for each compartment of the vaginal ring.  </w:t>
        <w:br/>
        <w:t xml:space="preserve">e) Detailed description of the complete production procedure of the vaginal ring.”  </w:t>
        <w:br/>
        <w:t xml:space="preserve">(139) From the above, it follows that MSD's request was aimed at a purely documentary analysis of the ring manufactured by LEON FARMA and was not directed at conducting any experimental evidence or obtaining samples.  </w:t>
        <w:br/>
        <w:t xml:space="preserve">(140) MSD ESPAÑA stated in its request for verification proceedings that the fact that the vaginal rings of the Complainant had been authorized by the AEMPS as generic medicines of Nuvaring meant that they had been considered bioequivalent. This bioequivalence constituted, according to the approach of MSD ESPAÑA, clear evidence that INSUD PHARMA could be infringing the Spanish patent of Nuvaring.  </w:t>
        <w:br/>
        <w:t xml:space="preserve">(141) The verification proceedings were agreed upon by the Commercial Court No. 5 of Barcelona by Order of July 14, 2017.64  </w:t>
        <w:br/>
        <w:t xml:space="preserve">(142) The Order of DCH (fifth foundation) contains a motivation in which it justifies the concurrence of the requirement provided in Article 123.3 LP -cited in paragraph (60)- that it is not possible to verify whether there is patent infringement without resorting to the DCH. The Order states:  </w:t>
        <w:br/>
        <w:t xml:space="preserve">63 Written request for verification proceedings submitted by MSD on June 27, 2017, provided by INSUD PHARMA in the complaint (folios 653 to 677) and by MSD in response to the information request (folios 1477 to 1500).  </w:t>
        <w:br/>
        <w:t xml:space="preserve">64 Order authorizing preliminary proceedings of July 14, 2017 provided by INSUD PHARMA (folios 678 to 686) and by MSD in its response to the information request (folios 1501 to 1509).  </w:t>
        <w:br/>
        <w:t xml:space="preserve">Comisión Nacional de los Mercados y la Competencia 37 de 158  </w:t>
        <w:br/>
        <w:t xml:space="preserve">C/ Alcalá, 47 – 28014 Madrid - C/ Bolivia, 56 – 08018 Barcelona  </w:t>
        <w:br/>
        <w:t>www.cnmc.es</w:t>
      </w:r>
    </w:p>
    <w:p>
      <w:r>
        <w:t xml:space="preserve">S/0026/19  </w:t>
        <w:br/>
        <w:t xml:space="preserve">MERCK SHARP DOHME, S.A.  </w:t>
        <w:br/>
        <w:t xml:space="preserve">“The last requirement is to appreciate that there are no other reasonable alternatives to the requested verification proceedings. This requirement is met to the extent that the applicant has gathered all the public information available to them; has made information requests to the subjects affected by these measures, without success; and the details of the manufacturing process and the technical characteristics of the ring that are in the authorization file of those medicines at the AEMPS are confidential.”  </w:t>
        <w:br/>
        <w:t xml:space="preserve">(143) Based on this premise, the order establishes the verifications that needed to be carried out:  </w:t>
        <w:br/>
        <w:t xml:space="preserve">“1st.- The AEMPS will be notified to provide, before July 28, 2017, the information contained in the marketing authorization file of Ornibel for its submission to the judicial expert, so that they can issue the relevant report before September 22, 2017, necessary to resolve on the existence or non-existence of patent infringement.  </w:t>
        <w:br/>
        <w:t xml:space="preserve">2nd.- Upon receipt of this documentation, it will be delivered to the judicial expert to be designated by this Court, who, in view of the documentation submitted and hearing ex art. 124.1 LP the affected companies Laboratorios León Farma S.A. or Exeltis Healthcare S.L., will issue a report in which they must conclude whether all and each of the characteristics of patent EP 876815 (ES 2171283) are being infringed by them. The report must be completed and issued before September 14.  </w:t>
        <w:br/>
        <w:t xml:space="preserve">3rd.- In no case will prior notification of the practice of these proceedings be made to those who must bear it, Laboratorios León Farma S.A. or Exeltis Healthcare S.L., without prejudice to their possibility of being heard and making statements before the judicial expert.”  </w:t>
        <w:br/>
        <w:t xml:space="preserve">(144) The obligation for the expert to hear Laboratorios León Farma S.A. or Exeltis Healthcare S.L. was reiterated by the Judge by means of an order of July 27, 2017, in which the aforementioned Court responded to a request from MSD in the following terms:  </w:t>
        <w:br/>
        <w:t xml:space="preserve">“There is no basis for the request. The parties affected by the proceedings are the defendants, it is confidential documentation belonging to the defendants, even though it is in the records of a third party. The proceedings are understood/affect only them. It is the defendants who must be given the opportunity to be heard and to express themselves, via the judicial expert, ex art. 124.1: ‘heard the statements of the person with whom the diligence is understood. The requesting party is already being heard.’”65  </w:t>
        <w:br/>
        <w:t xml:space="preserve">(145) The request that MSD directed to JM No. 5 that justified such a response from the Judge is not in the file. However, it can be inferred that in that procedure MSD requested that the expert hear MSD in the proceedings. This conclusion must be reached by analyzing the invoices that ABG Patentes issued to MSD. One of those invoices proves that ABG Patentes provided MSD with the service of providing them with arguments as to why the judicial body should allow the expert to speak with MSD66.  </w:t>
        <w:br/>
        <w:t xml:space="preserve">(146) This request did not prosper, and the judge denied the request for the expert to meet with MSD and ordered that the expert hear Laboratorios León Farma S.A. or Exeltis Healthcare S.L. and not MSD.  </w:t>
        <w:br/>
        <w:t xml:space="preserve">(147) By means of an order of July 27, 2017, the Court designated a judicial expert from among those proposed by MSD, who declined their appointment, so that, by means of a new order of July 20, 2017, the Commercial Court required MSD to propose a new expert within two days67.  </w:t>
        <w:br/>
        <w:t xml:space="preserve">(148) On July 26, MSD proposed Dr. A.R., who was appointed by order of July 27. The expert accepted the assignment and on August 1 the documents previously requested from the AEMPS were delivered to her68.  </w:t>
        <w:br/>
        <w:t xml:space="preserve">(149) The judicial expert issued her report on September 13, 201769, in which she begins by stating the purpose of the Expert Report “to analyze whether there are indications of whether patent EP876816 (ES 2171283) has been infringed or, on the contrary, whether the occurrence of such infringement is completely ruled out.”  </w:t>
        <w:br/>
        <w:t xml:space="preserve">(150) The expert report is preceded by the sworn declaration to tell the truth and to act with the greatest possible objectivity, taking into consideration both what may favor and what may cause harm to any of the interested parties.  </w:t>
        <w:br/>
        <w:t xml:space="preserve">The conclusion reached is the following:  </w:t>
        <w:br/>
        <w:t xml:space="preserve">“Based on the documents found and reviewed, it is concluded that the vaginal ring Ornibel literally infringes claim 1 of the Spanish patent ES 2171283 published on 01.09.2002, except regarding the oversaturation of the progestogenic compound in the polymer that constitutes the core of the ring, an aspect on which they have not provided the requested information that allows the conclusive test to determine whether the compound is dissolved and not oversaturated, and therefore there is a possibility that the vaginal ring Ornibel infringes patent ES 2171283.”  </w:t>
        <w:br/>
        <w:t xml:space="preserve">66 Invoice No. 201705636 of July 31 (folio: 7.527, provided by INSUD PHARMA) detailing the concept "drafting an e-mail addressed to Kiko (lawyer of MSD) arguing why Merck should be allowed to talk to the Anton Pillar expert, defining the profile of the expert and proposing how the Court could find such an expert.”  </w:t>
        <w:br/>
        <w:t xml:space="preserve">67 Order of July 20, 2017 (folio 8.690 of the file).  </w:t>
        <w:br/>
        <w:t xml:space="preserve">68 Information contained in the opposition document of LEÓN FARMA and EXELTIS to the precautionary measures (Folio: 10.780)  </w:t>
        <w:br/>
        <w:t xml:space="preserve">69 Expert report of September 13, 2017 provided by INSUD PHARMA on February 11, 2021 (folios 7.532 to 7.700).  </w:t>
        <w:br/>
        <w:t xml:space="preserve">Comisión Nacional de los Mercados y la Competencia 39 de 158  </w:t>
        <w:br/>
        <w:t xml:space="preserve">C/ Alcalá, 47 – 28014 Madrid - C/ Bolivia, 56 – 08018 Barcelona  </w:t>
        <w:br/>
        <w:t>www.cnmc.es</w:t>
      </w:r>
    </w:p>
    <w:p>
      <w:r>
        <w:rPr>
          <w:b/>
        </w:rPr>
        <w:t>[Pages 40–42]</w:t>
      </w:r>
    </w:p>
    <w:p>
      <w:r>
        <w:t xml:space="preserve">S/0026/19  </w:t>
        <w:br/>
        <w:t xml:space="preserve">MERCK SHARP DOHME, S.A.  </w:t>
        <w:br/>
        <w:t xml:space="preserve">In other words, the expert report is not conclusive regarding the absence of infringement because the information that, according to its approach, would have been necessary was not available. However, the very request from DCH excluded any reference to experimental evidence, addressing only a documentary examination. This issue is addressed in the order of the Commercial Court No. 5 of Barcelona, which will be referenced in paragraphs (169) and following.  </w:t>
        <w:br/>
        <w:t xml:space="preserve">(151) According to the expert's report, such evidence was not carried out due to difficulties or impediments in the exercise of her work that prevented her from accessing certain information that would have been necessary to conclude whether or not there was patent infringement. Specifically, she states that she needed "the trade name of the polymeric composition of the core of the vaginal ring." This information was necessary to conduct saturation tests.  </w:t>
        <w:br/>
        <w:t xml:space="preserve">(152) The expert's report states that she attempted to obtain this data from AEMPS, which did not provide her with the trade name, but the generic "ATPU 75 A Aliphatic Thermoplastic Polyurethane." This information is corroborated by the documentation attached to the expert report, which shows that the expert contacted AEMPS to request this data.70  </w:t>
        <w:br/>
        <w:t xml:space="preserve">(153) She also states that she contacted DSM Biomedical by email in order to obtain the trade name of the polyurethane and to conduct saturation tests. The report states: "after an exchange of messages in which DSM Biomedical constantly requests information about the purpose of my question, I cannot get DSM Biomedical to provide me with such a name (attached emails)."71  </w:t>
        <w:br/>
        <w:t xml:space="preserve">(154) This assertion is supported by a series of emails from which it is evident that the judicial expert contacted DMS Biomedical Inc. (the manufacturer of the polymer used in the core of the LF Ring (Ornibel)) to inquire about the trade name of the polyurethane contained in the core of the LF Ring.72  </w:t>
        <w:br/>
        <w:t xml:space="preserve">70 Folios 7.553-7.563 of the document "Expert report of September 13, 2017" submitted by INSUD PHARMA on February 11, 2021 (folios 7.532 to 7.700).  </w:t>
        <w:br/>
        <w:t xml:space="preserve">71 Folio 7.538 of the document "Expert report of September 13, 2017" submitted by INSUD PHARMA on February 11, 2021 (folios 7.532 to 7.700).  </w:t>
        <w:br/>
        <w:t xml:space="preserve">72 Chain of emails dated between September 7 and 11, 2017, between the judicial expert and the Technology Director of DMS Biomedical Inc.: "Please, I would like to know the tradename of ATPU-175ª Aliphatic thermoplastic polyether polyurethane for controlled drug release (intravaginal drug delivery ring)? - Thank you for your interest in DSM products. I'm not sure I understood your question - are you working on any specific medical devices that could use ATPU polyurethane? - Thank you for your answer yes, I am working on a hydrophobic polymer for drug release (intravaginal rings). - Could you please provide name and other details (products, location, revenue, etc.) of your company? Thanks." submitted by INSUD PHARMA on February 11, 2021 (folios 7701 to 7703).  </w:t>
        <w:br/>
        <w:t xml:space="preserve">73 Chain of emails dated between September 7 and 11, 2017, between the judicial expert and Chandler P. Submitted by INSUD PHARMA on February 11, 2021 (folios 7.701 to 7.703).  </w:t>
        <w:br/>
        <w:t xml:space="preserve">74 Invoice No. 201705636 of July 31 (folio: 7.525, submitted by INSUD PHARMA) detailing the concept "Telephone conversation of J.A., and A.F. with judicial expert."  </w:t>
        <w:br/>
        <w:t xml:space="preserve">75 [CONFIDENTIAL] (folios 4184 to 4193).  </w:t>
        <w:br/>
        <w:t xml:space="preserve">76 Invoice No. 201705636 of July 31 (folio: 7.525, submitted by INSUD PHARMA) detailing the concept "Meeting with judicial experts" twice.  </w:t>
        <w:br/>
        <w:t xml:space="preserve">S/0026/19  </w:t>
        <w:br/>
        <w:t xml:space="preserve">MERCK SHARP DOHME, S.A.  </w:t>
        <w:br/>
        <w:t xml:space="preserve">This meeting was confirmed by the order lifting the precautionary measures, which states: "3.13 This attitude of the judicial expert towards the defendants, from LF, differs from that maintained with the plaintiffs, where it is evidenced that she met with them, with MSD, for several hours, on September 11, 2017 (document No. 40 of the main claim, invoice issued by the judicial expert where the hours are billed)."  </w:t>
        <w:br/>
        <w:t xml:space="preserve">IV.4.C. Procedure for Precautionary Measures  </w:t>
        <w:br/>
        <w:t xml:space="preserve">(161) On September 11, 2017, MSD submitted a request for precautionary measures "inaudita parte"77 to the Commercial Court No. 5 of Barcelona.  </w:t>
        <w:br/>
        <w:t xml:space="preserve">(162) The request for precautionary measures was not accompanied by the expert report, as it was not concluded until September 13, as indicated in paragraph (149).  </w:t>
        <w:br/>
        <w:t xml:space="preserve">(163) With that request, MSD submitted a second expert report from ABG Patentes regarding which MSD states78: "The chemical experts who prepared the expert report submitted by this party along with this request for precautionary measures, ABG Patentes, have concluded without any doubt that ORNIBEL® and ETONOGESTREL/ETINILESTRADIOL LEON FARMA® fall within the scope of protection of my Mandants' patent, such that their manufacture, export, and marketing is a literal and direct infringement."  </w:t>
        <w:br/>
        <w:t xml:space="preserve">(164) The report was based on the following information:  </w:t>
        <w:br/>
        <w:t xml:space="preserve">• The technical data sheets of ORNIBEL® and ETONOGESTREL/ETINILESTRADIOL LEON FARMA® approved by AEMPS, which contain the data provided by the defendants to this agency during the approval process of their medications.  </w:t>
        <w:br/>
        <w:t xml:space="preserve">• The patent application from Chemo WO 2013/12088 (EP2814458) that anticipates the protection of their products.  </w:t>
        <w:br/>
        <w:t xml:space="preserve">• Information obtained directly from the promotional material of the defendants (promotional brochures issued by GRUPO Chemo).  </w:t>
        <w:br/>
        <w:t xml:space="preserve">• Technical data sheet of NUVARING®.  </w:t>
        <w:br/>
        <w:t xml:space="preserve">77 Request for precautionary measures from MSD dated September 11, 2017, submitted by INSUD PHARMA in the complaint (folios 687 to 715) and by MSD in its response to the information request made by this Competition Directorate dated June 26, 2020 (folios 1510 to 1518).  </w:t>
        <w:br/>
        <w:t>78 Report from ABG Patentes attached to the request for precautionary measures submitted by MSD dated September 11, 2017, submitted by INSUD PHARMA on February 11, 2021 (folios 7479 to 7522).</w:t>
      </w:r>
    </w:p>
    <w:p>
      <w:r>
        <w:rPr>
          <w:b/>
        </w:rPr>
        <w:t>[Pages 43–45]</w:t>
      </w:r>
    </w:p>
    <w:p>
      <w:r>
        <w:t xml:space="preserve">S/0026/19  </w:t>
        <w:br/>
        <w:t xml:space="preserve">MERCK SHARP DOHME, S.A.  </w:t>
        <w:br/>
        <w:t xml:space="preserve">(165) The technical documents that served as reference for this report were already publicly accessible on June 27, 2017, the date on which, as stated in paragraph (131), MSD requested the fact-finding proceedings. At that time, as already indicated in paragraph (137), it had declared before the judge that, with the information provided by MSD and publicly available, it was impossible to conclude the existence of a patent infringement:79  </w:t>
        <w:br/>
        <w:t xml:space="preserve">(166) On September 18, 2017, the Commercial Court No. 5 of Barcelona issued Order No. 203/2017, agreeing to the precautionary measures by which the manufacture and marketing of the LF ring (ORNIBEL) in Spain was prohibited.  </w:t>
        <w:br/>
        <w:t xml:space="preserve">(167) The order granting the precautionary measures was notified to INSUD PHARMA on September 20, 2017.  </w:t>
        <w:br/>
        <w:t xml:space="preserve">IV.4.D. Lawsuit in the main proceedings  </w:t>
        <w:br/>
        <w:t xml:space="preserve">(168) On October 26, 2017, MSD filed a lawsuit for patent infringement80 in the case in which the precautionary measures were granted inaudita parte (P.O. 825/2017). As already indicated in the regulatory background, specifically in paragraph (75), the lawsuit must be filed within twenty days following the adoption of the precautionary measures. Therefore, the filing of the lawsuit was a procedural requirement to prevent the precautionary measures, which were in force at that time, from lapsing.  </w:t>
        <w:br/>
        <w:t xml:space="preserve">In the lawsuit, MSD requested compensation for the damages suffered as a result of the alleged patent infringement, the definitive determination of which is not specified in the lawsuit, being deferred to the moment of the execution of the judgment that resolves the dispute.  </w:t>
        <w:br/>
        <w:t xml:space="preserve">IV.4.E. Lifting of the precautionary measures.  </w:t>
        <w:br/>
        <w:t xml:space="preserve">(169) By means of a document dated October 27, 2017, which was presented to the Commercial Court No. 5 of Barcelona, INSUD PHARMA expressed its opposition to the precautionary measures81. This was the first time that INSUD PHARMA -since June 27, 2017, when MSD had begun to promote actions against it- could be heard before a court to defend itself against the actions taken by MSD.  </w:t>
        <w:br/>
        <w:t xml:space="preserve">79 Report by ABG patents attached to the fact-finding proceedings requested on June 27, 2017, by MSD provided by INSUD PHARMA on February 11, 2021 (folios 7476 to 7478).  </w:t>
        <w:br/>
        <w:t xml:space="preserve">80 Document of the lawsuit filed by MSD against INSUD PHARMA. Provided in the file by INSUD PHARMA (folios 7.297-7.338).  </w:t>
        <w:br/>
        <w:t xml:space="preserve">81 Document from INSUD PHARMA dated October 27, 2017, opposing the precautionary measures provided by MSD (folios 10.770 – 10.821).  </w:t>
        <w:br/>
        <w:t xml:space="preserve">S/0026/19  </w:t>
        <w:br/>
        <w:t xml:space="preserve">MERCK SHARP DOHME, S.A.  </w:t>
        <w:br/>
        <w:t xml:space="preserve">(170) In defense of its actions not infringing the patent, it submitted an expert report (prepared by Dr. K.M. based on experimental evidence), and a hearing was held on November 15 and 16, 2017. In the hearing, this same expert proposed by INSUD PHARMA82 testified.  </w:t>
        <w:br/>
        <w:t xml:space="preserve">(171) On December 12, 2017, the precautionary measures were revoked by order of the Commercial Court No. 5 of Barcelona.83  </w:t>
        <w:br/>
        <w:t xml:space="preserve">(172) The commercial court analyzed the ABG report, the expert report of A.R. stemming from the previous fact-finding proceedings, and concluded that the expert report of INSUD PHARMA was more convincing because it had based its report on experimental evidence, specifically tests conducted by the Laboratory of Instrumental Techniques of the University of León.  </w:t>
        <w:br/>
        <w:t xml:space="preserve">(173) According to such tests, the saturation concentration value of etonogestrel in the polyurethane ATPU-1 75ª is more than four times below the saturation concentration (0.62% vs. 2.53%), while patent ES’283 defines the characteristic under examination as being up to six times above the saturation concentration.  </w:t>
        <w:br/>
        <w:t xml:space="preserve">(174) It also took into account a relevant fact, in the same sense: that while the technical data sheet of the defendants' ring does not require cold storage, ES’283 states that cold storage is necessary, which is a consequence of the claimed ring being formed by a core in a supersaturated state, so that without cold storage it tends to crystallize and lose its efficacy.  </w:t>
        <w:br/>
        <w:t xml:space="preserve">(175) The order also reasoned that, on the contrary, neither the party's expert report nor the judicial one were convincing because they did not analytically analyze the composition and merely stated that there was a high probability that the characteristic under examination was met. This led it to conclude that the infringement could not be considered proven by the party that was supposed to prove it.  </w:t>
        <w:br/>
        <w:t xml:space="preserve">(176) It adds that, in the case of the judicially appointed expert report, its conduct is blameworthy for not having followed the court's own instructions to carry out the expertise, that is, collecting data from the defendants, and for not having requested judicial assistance or having put in place the necessary means to obtain the polyurethane compound that would allow it to carry out the necessary analyses to determine whether this characteristic was met or not.  </w:t>
        <w:br/>
        <w:t xml:space="preserve">“4.1 According to the reasoning provided, we conclude that there are serious doubts that the LF rings reproduce the essential technical characteristic that we have termed 1.5 of ES ‘283 (“progestogenic compound initially dissolved in the aforementioned polymer core material at a relatively low degree of supersaturation”) and, therefore, that they directly infringe it. All of this, without prejudice to the fact that in the main lawsuit this provisional and indicative judgment unfavorable to the plaintiffs may be confirmed.”  </w:t>
        <w:br/>
        <w:t xml:space="preserve">(177) The order also reproached the expert's conduct, stating that:84  </w:t>
        <w:br/>
        <w:t xml:space="preserve">“From a procedural perspective, the conduct of the … as a judicial expert is also blameworthy. […] 3.14 In summary, with all that has been presented, we appreciate sufficient elements to conclude that the expert … more than a judicial expert has acted as a party expert; being her report at least limited or incomplete, if not partial; taking into account only what favors the plaintiffs and not diligently and curiously investigating what could benefit the defendants; overlooking what could harm the former and leaning, without conclusive evidence, towards what harms the latter. In this sense, we must recall the obligation set forth in Article 335.2 of the LEC for every expert and which, if applicable, is especially exigible for the one in whom the court places its trust as a judicial expert: […]”  </w:t>
        <w:br/>
        <w:t xml:space="preserve">(178) The order of the Commercial Court No. 5 of Barcelona continues to expressly state that (emphasis added):85  </w:t>
        <w:br/>
        <w:t xml:space="preserve">“[…] Undoubtedly, from a purely procedural point of view, it is quite artificial to request fact-finding proceedings in June; and before the deadline (September 22) for the judicial expert to issue her report –and unaware of her conclusions?– the plaintiff requests precautionary measures (September 11) accompanied by an expert report from the same dates and which is later expanded with another dated October 26; and where, in both reports, the basis for the conclusion regarding the disputed fact are documents that were already available beforehand, that is, in June 2017 […]. Moreover, when all evidentiary and judicial facilities have been available to the plaintiffs at all times: it would have been natural to have directed the initial request for fact-finding proceedings to obtain from LF directly- and not through the AEMPS- not only the technical information of the rings but a physical sample of them, it would have been logical to wait for the result of the report of the fact-finding proceedings; it would have been pertinent and prudent, before requesting the precautionary measures, in any case, to have requested other fact-finding proceedings to obtain a sample from the manufacturer of the polymer for LF, DSM Medical. We even have doubts that with the LF ring on the market, in September,  </w:t>
        <w:br/>
        <w:t xml:space="preserve">84 Order of the Commercial Court No. 5 of Barcelona dated December 12, 2017 (folios 788 to 809) provided by INSUD PHARMA in the complaint.  </w:t>
        <w:br/>
        <w:t>85 Order of the Commercial Court No. 5 of Barcelona dated December 12, 2017 (folios 788 to 809) provided by INSUD PHARMA in the complaint.</w:t>
      </w:r>
    </w:p>
    <w:p>
      <w:r>
        <w:rPr>
          <w:b/>
        </w:rPr>
        <w:t>[Pages 46–48]</w:t>
      </w:r>
    </w:p>
    <w:p>
      <w:r>
        <w:t xml:space="preserve">S/0026/19  </w:t>
        <w:br/>
        <w:t xml:space="preserve">MERCK SHARP DOHME, S.A.  </w:t>
        <w:br/>
        <w:t xml:space="preserve">being marketed, it would not have been possible to carry out the tests or trials prior to acquiring/purchasing a sample (certainly, the experts contradict each other on this point)”.  </w:t>
        <w:br/>
        <w:t xml:space="preserve">IV.4.F. Appeal against the order of revocation and dismissal by the Provincial Court of Barcelona  </w:t>
        <w:br/>
        <w:t xml:space="preserve">(179) MSD filed an appeal against the Order of revocation of December 2017, which was dismissed by the Provincial Court of Barcelona (Section 15) by order 145/2018 of November 13, 2018, condemning MSD to pay costs.86 This order addresses the alleged refusal to provide samples for analysis by INSUD PHARMA and states87:  </w:t>
        <w:br/>
        <w:t xml:space="preserve">“In any case, we do not believe it is true that the defendants have refused to provide the polymer so that the analyses required to verify the disputed characteristic could be carried out. The expert appointed by the court had the mandate to approach the defendant to demand that delivery and did not do so, and had sufficient information with the designation that it was the polyurethane ATPU-175 A, as well as the indication of who its manufacturer was, to have located it and carried out the appropriate tests, and neither did he, leaving open the uncertainty about whether it met the questioned characteristic. And the issue is not that the actions of the court-appointed expert allow questioning their conclusions, particularly when other evidentiary elements are offered to the judge, along with the aforementioned, that provide objective support to the doubts regarding the credibility of the expert report issued by the court-appointed expert” (emphasis added).  </w:t>
        <w:br/>
        <w:t xml:space="preserve">IV.4.G. Suspension of the main lawsuit and subsequent declaration of expiration  </w:t>
        <w:br/>
        <w:t xml:space="preserve">(180) By Decree of the Commercial Court No. 05 of Barcelona dated December 4, 2018, which granted the request made by INSUD PHARMA and MSD, the suspension of the commercial lawsuit regarding the infringement of the Nuvaring patent was agreed.88 The aforementioned Decree states:  </w:t>
        <w:br/>
        <w:t xml:space="preserve">“I suspend the course of the proceedings for SIXTY days, counted from the day following the notification of this resolution. The course of the process will resume if requested by either party.  </w:t>
        <w:br/>
        <w:t xml:space="preserve">86 Order 145/2018 of the Provincial Court of Barcelona of November 13, 2018 submitted by INSUD PHARMA in its complaint (folio 178 to 179)  </w:t>
        <w:br/>
        <w:t xml:space="preserve">87 Legal Basis Third of Order 145/2018 of the Provincial Court of Barcelona of November 13, 2018 submitted by INSUD PHARMA in its complaint (folio 173 to 179)  </w:t>
        <w:br/>
        <w:t xml:space="preserve">88 Decree submitted to the file by INSUD PHARMA SL in its complaint. (folio 181)  </w:t>
        <w:br/>
        <w:t xml:space="preserve">Comisión Nacional de los Mercados y la Competencia 46 de 158  </w:t>
        <w:br/>
        <w:t xml:space="preserve">C/ Alcalá, 47 – 28014 Madrid - C/ Bolivia, 56 – 08018 Barcelona  </w:t>
        <w:br/>
        <w:t>www.cnmc.es</w:t>
      </w:r>
    </w:p>
    <w:p>
      <w:r>
        <w:t xml:space="preserve">S/0026/19  </w:t>
        <w:br/>
        <w:t xml:space="preserve">MERCK SHARP DOHME, S.A.  </w:t>
        <w:br/>
        <w:t xml:space="preserve">After the period indicated in the previous section, if neither party requests, within the following five days, the resumption of the process, the proceedings will be provisionally archived and will remain in that situation until a request for continuation is made or the expiration of the instance occurs.”  </w:t>
        <w:br/>
        <w:t xml:space="preserve">(181) The judicial process expired due to procedural inactivity as the lawsuit remained inactive for the two years established by § 237.1 LEC.  </w:t>
        <w:br/>
        <w:t xml:space="preserve">(182) Finally, the Ordinary procedure 825/2017-1 in which the infringement of the “Nuvaring” patent was adjudicated expired on December 4, 2020, by Decree No. 670/202189, of May 31, after having remained without procedural activity for more than two years, counted from December 4, 2018, when the last notification to the parties took place, of the resolution agreeing to the decree of suspension for 60 days in compliance with the provisions of Article 270 of Law 1/2000, of January 7, on Civil Procedure.  </w:t>
        <w:br/>
        <w:t xml:space="preserve">IV.4.H. Compensation for damages.  </w:t>
        <w:br/>
        <w:t xml:space="preserve">(183) Before the Commercial Court No. 5 of Barcelona, the liquidation of the corresponding damages caused to INSUD by the precautionary measures is currently being debated (procedure 62/2020).90 By filing this Enforcement Claim, INSUD PHARMA is complying with the order issued by the aforementioned Court on December 12, 2017, which lifted the precautionary measures adopted inaudita parte and expressly urged it to claim the damages suffered as a result of the prohibition to market and manufacture its vaginal ring based on etonogestrel and ethinylestradiol, launched in Spain by EXELTIS HEALTHCARE under the brand Ornibel. In the enforcement claim, damages are claimed not only for the subsidiaries of INSUD PHARMA, Laboratorios León Farma, S.A., responsible for the manufacture of the LF Ring, and Exeltis Healthcare, S.L., responsible for its marketing in Spain, but also for all other subsidiaries of the group responsible for the distribution of the ring in other European countries such as Sweden, Norway, Finland, Germany, Belgium, Czech Republic, Slovakia, Hungary, and Poland.91  </w:t>
        <w:br/>
        <w:t xml:space="preserve">89 Decree No. 670/2021 of May 31, 2021, of the Commercial Court No. 5 (folio 8.035).  </w:t>
        <w:br/>
        <w:t xml:space="preserve">90 Information provided by INSUD PHARMA dated February 11, 2020 (folios 6.972 to 6.984).  </w:t>
        <w:br/>
        <w:t xml:space="preserve">91 Exeltis Sverige for Sweden, Norway, and Finland; Exeltis Germany for Germany and Belgium; Exeltis Czech Republic; Exeltis Slovakia; Exeltis Hungary and Exeltis Poland; as well as the external marketing companies with which Insud Pharma had contracted the supply of the ring through the corresponding licensing agreement: Adamed, Aristo, Heaton, Polpharma, Mylan, Sandoz, Farmitalia, and Hexal  </w:t>
        <w:br/>
        <w:t xml:space="preserve">Comisión Nacional de los Mercados y la Competencia 47 de 158  </w:t>
        <w:br/>
        <w:t xml:space="preserve">C/ Alcalá, 47 – 28014 Madrid - C/ Bolivia, 56 – 08018 Barcelona  </w:t>
        <w:br/>
        <w:t>www.cnmc.es</w:t>
      </w:r>
    </w:p>
    <w:p>
      <w:r>
        <w:t xml:space="preserve">S/0026/19  </w:t>
        <w:br/>
        <w:t xml:space="preserve">MERCK SHARP DOHME, S.A.  </w:t>
        <w:br/>
        <w:t xml:space="preserve">(184) Additionally, the expert report includes an estimate of the profit obtained by MSD from the sales of Nuvaring in the European market only during the years 2017, 2018, and 2019, which would amount to [REDACTED] million euros:92  </w:t>
        <w:br/>
        <w:t xml:space="preserve">IV.4.I. On the proceedings initiated in other countries.  </w:t>
        <w:br/>
        <w:t xml:space="preserve">(185) MSD initiated proceedings in other countries to attempt to halt the marketing of rings similar to Ornibel that were marketed under different brands in other countries.  </w:t>
        <w:br/>
        <w:t xml:space="preserve">(186) [CONFIDENTIAL]93.  </w:t>
        <w:br/>
        <w:t xml:space="preserve">(187) Legal actions were initiated in Germany in July 2017 and in Poland, Finland, Sweden, Norway, and Belgium in the third quarter of 2017.  </w:t>
        <w:br/>
        <w:t xml:space="preserve">(188) In the case of Germany, MSD sent a letter to Exeltis Germany urging the halt of the marketing of the GINORING ring dated July 27, 201794, which was responded to the following day95 with the denial of infringement by Exeltis. In the other countries, the filing of precautionary measures was carried out prior to obtaining them in Spain.  </w:t>
        <w:br/>
        <w:t xml:space="preserve">(189) [CONFIDENTIAL]96:  </w:t>
        <w:br/>
        <w:t xml:space="preserve">[CONFIDENTIAL]97  </w:t>
        <w:br/>
        <w:t xml:space="preserve">(190) Finally, none of the proceedings were successful with the requests for precautionary measures filed by MSD against the ring of INSUD PHARMA in various European jurisdictions (Belgium, Germany, Poland, Finland, Sweden, and Norway), none of these have been accepted98.  </w:t>
        <w:br/>
        <w:t xml:space="preserve">92 Expert report submitted by INSUD PHARMA and attached to the enforcement claim filed by INSUD PHARMA before the Commercial Court No. 5 of Barcelona (folios 6985 to 7042).  </w:t>
        <w:br/>
        <w:t xml:space="preserve">93 [CONFIDENTIAL] (folios 6307 and 6308, 6322 and 6323, 6324 to 6326).  </w:t>
        <w:br/>
        <w:t xml:space="preserve">94 Document submitted by INSUD PHARMA, folios 820 – 823.  </w:t>
        <w:br/>
        <w:t xml:space="preserve">95 Document submitted by INSUD PHARMA, folios 815 – 819.  </w:t>
        <w:br/>
        <w:t xml:space="preserve">96 [CONFIDENTIAL] (folios 1.354 to 1.368).  </w:t>
        <w:br/>
        <w:t xml:space="preserve">[CONFIDENTIAL] (folios 1.361 and 1.362).  </w:t>
        <w:br/>
        <w:t xml:space="preserve">98 Specifically, MSD has withdrawn from all judicial proceedings it had initiated that aimed at determining the infringement of the Nuvaring patent by the vaginal ring of INSUD PHARMA (folios 10, 384 to 408, 409 to 412, 852 to 858, 859 to 809, 818 to 909, 910 to 923, and 1.924 to 2.038).  </w:t>
        <w:br/>
        <w:t xml:space="preserve">Comisión Nacional de los Mercados y la Competencia 48 de 158  </w:t>
        <w:br/>
        <w:t xml:space="preserve">C/ Alcalá, 47 – 28014 Madrid - C/ Bolivia, 56 – 08018 Barcelona  </w:t>
        <w:br/>
        <w:t>www.cnmc.es</w:t>
      </w:r>
    </w:p>
    <w:p>
      <w:r>
        <w:rPr>
          <w:b/>
        </w:rPr>
        <w:t>[Pages 49–51]</w:t>
      </w:r>
    </w:p>
    <w:p>
      <w:r>
        <w:t xml:space="preserve">S/0026/19  </w:t>
        <w:br/>
        <w:t xml:space="preserve">MERCK SHARP DOHME, S.A.  </w:t>
        <w:br/>
        <w:t xml:space="preserve">IV.5. Other Relevant Facts  </w:t>
        <w:br/>
        <w:t xml:space="preserve">IV.5.A. 2013: Identification by MSD of INSUD's Product  </w:t>
        <w:br/>
        <w:t xml:space="preserve">(191) INSUD PHARMA (then called the CHEMO group) announced in December 2012 an investment to distribute "20 million vaginal rings starting in 2014.” The press release states99:  </w:t>
        <w:br/>
        <w:t xml:space="preserve">“The pharmaceutical company León Farma, dependent on the Chemo group, announced this Tuesday that it will distribute between 16 and 20 million contraceptive vaginal rings starting in 2014 after an investment in machinery amounting to five million euros, as explained by the director of Chemo in Spain, Pedro de Andrés. This 'star product' employs an 'innovative' methodology for distributing the active ingredient and releases the doses 'simply and in a controlled manner.' De Andrés specified today that 'only' one company in the world markets this product and the demand will guarantee 'success.'  </w:t>
        <w:br/>
        <w:t xml:space="preserve">(192) [CONFIDENTIAL]100.  </w:t>
        <w:br/>
        <w:t xml:space="preserve">(193) [CONFIDENTIAL]101 [CONFIDENTIAL]”102 (emphasis added).  </w:t>
        <w:br/>
        <w:t xml:space="preserve">(194) The handwritten notes prove that, in March 2013, MSD was already attentive to the entry of a significant competitor and was focusing on the characteristics of the new product which, as will be seen throughout this resolution, introduced certain technical advantages compared to the one that MSD was marketing at that time, fundamentally the unnecessary need for cold storage.  </w:t>
        <w:br/>
        <w:t xml:space="preserve">(195) These specific technical data, of which MSD was aware as early as 2013, are the same that - as will be seen later - four years later would allow the courts to dismiss any appearance of a prima facie case in the request for precautionary measures promoted by MSD.  </w:t>
        <w:br/>
        <w:t xml:space="preserve">(196) As already indicated in paragraph (5), MSD has filed an administrative contentious appeal in which it requests that this evidence not be part of the file, as it pertains to information protected by attorney-client privilege. This allegation will be addressed in paragraphs (552) to (556), later on.  </w:t>
        <w:br/>
        <w:t xml:space="preserve">99 Press release disseminated by Europa Press and submitted by MSD to the file, along with its allegations to the PR (folios 10.758 – 10.760).  </w:t>
        <w:br/>
        <w:t xml:space="preserve">100 Folio 10.586. Allegations of MSD to the PR, folios 10.568 – 10.744.  </w:t>
        <w:br/>
        <w:t xml:space="preserve">101 [CONFIDENTIAL] (folios 1354 to 1368).  </w:t>
        <w:br/>
        <w:t xml:space="preserve">102 [CONFIDENTIAL] (folios 1354 and 1355).  </w:t>
        <w:br/>
        <w:t xml:space="preserve">S/0026/19  </w:t>
        <w:br/>
        <w:t xml:space="preserve">MERCK SHARP DOHME, S.A.  </w:t>
        <w:br/>
        <w:t xml:space="preserve">(197) But even in the event that, due to the success of the administrative contentious appeal filed by MSD, the evidentiary element of the handwritten notes from 2013 were to fall, the consequences of this Chamber's analysis regarding MSD's knowledge of the characteristics of the competing product would not be altered, nor the legal consequences that derive from this element.  </w:t>
        <w:br/>
        <w:t xml:space="preserve">(198) Indeed, five months after the date of the handwritten notes referred to in paragraphs (192) and (193), on August 22, 2013, the brochure of patent WO 2013/120888A2 from INSUD PHARMA was published in the international patent system of the World Intellectual Property Organization103.  </w:t>
        <w:br/>
        <w:t xml:space="preserve">(199) With this publication, the technical characteristics of what would later be marketed as the "Ornibel" ring were detailed, to which reference has also been made earlier, in paragraphs (110) and following.  </w:t>
        <w:br/>
        <w:t xml:space="preserve">(200) MSD claims that the publication of patent WO 2013/120888 A2 from INSUD PHARMA in the international patent system of the World Intellectual Property Organization on August 22, 2013, lacks value to ascertain whether the ring that INSUD PHARMA would later market infringed the claims of the NUVARING patent. It indicates that, since each patent offers several embodiments and does not specify the details to determine the specific embodiment and polymer, saturation state, etc. ultimately used in its manufacture and marketing, it could not be known whether the ring subsequently marketed by INSUD PHARMA in Spain in September 2017, as a generic specialty, infringed the claims of the NUVARING patent.  </w:t>
        <w:br/>
        <w:t xml:space="preserve">(201) Such an allegation cannot prosper. This Chamber does not dispute that, in general, a patent document does not, by itself, allow for the dismissal of the infringement of another patent. This lack of suitability of a patent to defend itself against an earlier patent is expressly enshrined in the LP in its Article 64 which, under the heading, “Lack of Coverage Against Earlier Patents,” states that the holder of a patent cannot invoke it to defend against actions directed against him for infringement of other patents that have an earlier priority date than his.  </w:t>
        <w:br/>
        <w:t xml:space="preserve">103 Publication of patent WO 2013/120888 A2 on August 22, 2013, in the international patent system of the World Intellectual Property Organization WIPO/PCT submitted by INSUD PHARMA (folios 498 to 534). The publication, as well as all documents related to the patent grant procedure, are available online through the following link: https://register.epo.org/application?number=EP13705955&amp;lng=en&amp;tab=doclist  </w:t>
        <w:br/>
        <w:t xml:space="preserve">S/0026/19  </w:t>
        <w:br/>
        <w:t xml:space="preserve">MERCK SHARP DOHME, S.A.  </w:t>
        <w:br/>
        <w:t xml:space="preserve">(202) It is also undisputed that with a simple reading of the brochure of patent WO 2013/120888 one cannot precisely know what the execution ultimately used to manufacture the product will be, as the patent document does not reveal the specific type of polymer ultimately used.  </w:t>
        <w:br/>
        <w:t xml:space="preserve">(203) However, it must be taken into account that patent WO 2013/120888 describes as an essential characteristic the non-cold storage of the product, which stems from the subsaturation, as has already been stated in paragraphs (112) to (121). And subsaturation, by definition, does not infringe the claims of patent ES’283, since in this patent the compound is oversaturated, unlike what occurs in patent WO 2013/120888. That is to say, that however many different ways (through different polymers) there are to execute patent WO 2013/120888, none of those possible forms presents the characteristic of oversaturation, which is inherent to patent ES’283.  </w:t>
        <w:br/>
        <w:t xml:space="preserve">(204) The value of patent WO 2013/120888 also lies in another fundamental fact: as already indicated in paragraph (110), it describes experimental techniques to determine the saturation concentration of the active ingredient in polyurethane, based on a physical sample. In other words, the description of patent WO 2013/120888 functions as an “instruction manual” for analyzing a sample of the ring once produced and, with this analysis, determining the concentration of etonogestrel in the core, to verify that it is indeed subsaturated, as described in the patent.  </w:t>
        <w:br/>
        <w:t xml:space="preserve">(205) MSD's allegation of denying value to WO 2013/120888 for the purpose of disclosing details of the product that would later be marketed by INSUD PHARMA is contradicted by its subsequent actions. The patent document WO 2013/120888 was decisive for MSD to assert before a judge that INSUD infringed its patent, being the reference document in this entire precautionary measures process104. Likewise, the expert report that MSD would later present in its judicial proceedings against INSUD makes constant references to patent WO 2013/120888 and each of the methods it employs to ascertain the degree of concentration of the active ingredient in the polymer.  </w:t>
        <w:br/>
        <w:t xml:space="preserve">(206) In conclusion, in 2013, MSD already had data and information that allowed it to know that the ring developed by CHEMO-INSUD PHARMA presented differential characteristics that represent a technical improvement over MSD's ring and was aware of each and every  </w:t>
        <w:br/>
        <w:t>104 Expert report of September 13, 2017 submitted by INSUD PHARMA on February 11, 2021 (folios 7.532 to 7.700). See also the request for precautionary measures from MSD dated September 11, 2017 submitted by INSUD PHARMA in the complaint (folios 687 to 715) and by MSD in its response to the information request made by this Competition Directorate dated June 26, 2020 (folios 1.510 to 1.518).</w:t>
      </w:r>
    </w:p>
    <w:p>
      <w:r>
        <w:rPr>
          <w:b/>
        </w:rPr>
        <w:t>[Pages 52–54]</w:t>
      </w:r>
    </w:p>
    <w:p>
      <w:r>
        <w:t xml:space="preserve">S/0026/19  </w:t>
        <w:br/>
        <w:t xml:space="preserve">MERCK SHARP DOHME, S.A.  </w:t>
        <w:br/>
        <w:t xml:space="preserve">one of these technical characteristics that were disclosed in document WO 2013/120888 Therefore, it can be concluded that this ring represented a potential and direct competitor to its Nuvaring ring.  </w:t>
        <w:br/>
        <w:t xml:space="preserve">IV.5.B. From September 2014 to May 2015: contacts between INSUD PHARMA and MSD.  </w:t>
        <w:br/>
        <w:t xml:space="preserve">(207) In 2014, INSUD PHARMA informed MSD of its intention to market its ring for which it sought to reach an agreement with MSD for its commercialization in the United States105  </w:t>
        <w:br/>
        <w:t xml:space="preserve">(208) These conversations began on September 30, 2014, when an executive from Insud (L.S., at that time an executive at the subsidiary LEÓN FARMA)2 contacted the management of MERCK, N.M.R., who held the position of Senior Vice-President of Global Human Health Business Development &amp; Licensing, Strategy and Commercial, by sending an email in which the possibility of a commercial collaboration between both companies was raised:106  </w:t>
        <w:br/>
        <w:t xml:space="preserve">“[..] I can briefly tell you that we can offer you for the United States a vaginal ring of etonogestrel + EE that would not be classified as “AB” We will file a patent […] in 6 months which would allow you to make a switch and protect the brand.”107  </w:t>
        <w:br/>
        <w:t xml:space="preserve">(209) As a result of these contacts, on October 27, 2014, MSD and INSUD PHARMA signed a confidentiality agreement,108 whose purpose  </w:t>
        <w:br/>
        <w:t xml:space="preserve">105 Chain of emails between members of MSD and INSUD PHARMA dated between September 30, 2014, and May 4, 2015 provided by MSD in response to the information request dated July 18, 2019 (folios 1.857 to 1.870).  </w:t>
        <w:br/>
        <w:t xml:space="preserve">106 Email dated September 30, 2014, between the director of INSUD PHARMA and MSD (folios 1869 and 1870) included in a chain of emails between members of MSD and INSUD PHARMA dated between September 30, 2014, and May 4, 2015, provided by MSD in response to the information request dated July 18, 2019 (folios 1.857 to 1.870).  </w:t>
        <w:br/>
        <w:t xml:space="preserve">107 Free translation of the original text in English from the email dated September 30, 2014, between MSD and INSUD PHARMA: “I can briefly tell you that we can offer for US an etonorgestrel + EE vaginal ring that the actual generic of Nuvaring would not be AB rated to. […] This could allow you to make a switch and to protect the brand. We could file a 505B2 in 6 months. This could allow you to make a switch and to protect the brand.”  </w:t>
        <w:br/>
        <w:t xml:space="preserve">108 Confidentiality agreement between MSD and INSUD PHARMA (folios 631 to 633) provided by INSUD PHARMA in the complaint and by MSD in response to the information request dated July 18, 2019 (folios 1857 to 1860).  </w:t>
        <w:br/>
        <w:t xml:space="preserve">Comisión Nacional de los Mercados y la Competencia 52 de 158  </w:t>
        <w:br/>
        <w:t xml:space="preserve">C/ Alcalá, 47 – 28014 Madrid - C/ Bolivia, 56 – 08018 Barcelona  </w:t>
        <w:br/>
        <w:t>www.cnmc.es</w:t>
      </w:r>
    </w:p>
    <w:p>
      <w:r>
        <w:t xml:space="preserve">S/0026/19  </w:t>
        <w:br/>
        <w:t xml:space="preserve">MERCK SHARP DOHME, S.A.  </w:t>
        <w:br/>
        <w:t xml:space="preserve">was to assess the respective interest of each party in reaching a licensing agreement for the etonogestrel + EE ring109 developed by INSUD PHARMA:110  </w:t>
        <w:br/>
        <w:t xml:space="preserve">“The evaluation of their respective interest in pursuing a potential licensing by Company to Merck of an etonogestrel + EE vaginal ring that the actual generic of Nuvaring would not be rated to between the parties (the «Transaction»).  </w:t>
        <w:br/>
        <w:t xml:space="preserve">(210) Both in the initial email of September 30, 2014, and in the content of the confidentiality agreement of October 27, 2014, it is stated that the product developed by INSUD PHARMA would not be classified as therapeutically equivalent, nor as “AB” in the United States.111  </w:t>
        <w:br/>
        <w:t xml:space="preserve">(211) In the context of these conversations, in order to reach a licensing agreement between both companies, INSUD PHARMA made a presentation112 of its ring to MSD in which both the characteristics and market penetration of Nuvaring were detailed, as well as the differences with the ring developed by INSUD PHARMA, highlighting that it did not infringe the Nuvaring patent, as it had different characteristics, as stated in the following slide of the aforementioned presentation:113  </w:t>
        <w:br/>
        <w:t xml:space="preserve">109 Acronym referring to “ethinylestradiol,” one of the components of contraceptive rings, along with etonogestrel.  </w:t>
        <w:br/>
        <w:t xml:space="preserve">110 Confidentiality agreement between MSD and INSUD PHARMA (folios 631 to 633 and 1857 to 1860) free translation of the original text in English: “The evaluation of their respective interest in pursuing a potential licensing by Company to Merck of an etonogestrel + EE vaginal ring that the actual generic of Nuvaring would not be rated to between the parties (the «Transaction»).  </w:t>
        <w:br/>
        <w:t xml:space="preserve">111 According to the classification of drugs by the U.S. Food and Drug Administration, drugs classified as “AB” are those that, by virtue of “in vivo” and/or “in vitro” tests or trials, meet the necessary bioequivalence requirements compared to a reference standard regarding other products that have already been approved previously. Drugs coded as “AB” will be considered therapeutically equivalent only with respect to other drugs also coded as “AB,” so that products classified in this category are considered generic drugs.  </w:t>
        <w:br/>
        <w:t xml:space="preserve">112 Presentation in PPT format provided by INSUD PHARMA as annex 6.1.b of its complaint (folios 622 to 630).  </w:t>
        <w:br/>
        <w:t xml:space="preserve">113 Free translation of the original text in English: “[…] characteristics vaginal ring CHEMO: non-infringing formula (León Farma) […]”  </w:t>
        <w:br/>
        <w:t xml:space="preserve">Comisión Nacional de los Mercados y la Competencia 53 de 158  </w:t>
        <w:br/>
        <w:t xml:space="preserve">C/ Alcalá, 47 – 28014 Madrid - C/ Bolivia, 56 – 08018 Barcelona  </w:t>
        <w:br/>
        <w:t>www.cnmc.es</w:t>
      </w:r>
    </w:p>
    <w:p>
      <w:r>
        <w:t xml:space="preserve">S/0026/19  </w:t>
        <w:br/>
        <w:t xml:space="preserve">MERCK SHARP DOHME, S.A.  </w:t>
        <w:br/>
        <w:t xml:space="preserve">Image 1. Presentation in PPT format provided by INSUD PHARMA as annex 6.1.b of its complaint, in the section “ChemoEtonogestrel / EE Vaginal Ring”  </w:t>
        <w:br/>
        <w:t xml:space="preserve">Source: folios 622 to 630  </w:t>
        <w:br/>
        <w:t xml:space="preserve">Image 2. Presentation in PPT format provided by INSUD PHARMA as annex 6.1.b of its complaint, in the section “Conclusions”  </w:t>
        <w:br/>
        <w:t xml:space="preserve">Source: folio 628  </w:t>
        <w:br/>
        <w:t xml:space="preserve">(212) On November 3, 2014, the Executive Director of Business Development of Merck &amp; Co INPC sent INSUD PHARMA a questionnaire with questions about the characteristics of its ring, which was completed and sent via email.  </w:t>
        <w:br/>
        <w:t xml:space="preserve">Comisión Nacional de los Mercados y la Competencia 54 de 158  </w:t>
        <w:br/>
        <w:t xml:space="preserve">C/ Alcalá, 47 – 28014 Madrid - C/ Bolivia, 56 – 08018 Barcelona  </w:t>
        <w:br/>
        <w:t>www.cnmc.es</w:t>
      </w:r>
    </w:p>
    <w:p>
      <w:r>
        <w:rPr>
          <w:b/>
        </w:rPr>
        <w:t>[Pages 55–57]</w:t>
      </w:r>
    </w:p>
    <w:p>
      <w:r>
        <w:t xml:space="preserve">S/0026/19  </w:t>
        <w:br/>
        <w:t xml:space="preserve">MERCK SHARP DOHME, S.A.  </w:t>
        <w:br/>
        <w:t xml:space="preserve">electronic mail dated December 2, 2014, from the Commercial Director of INSUD PHARMA to the aforementioned Executive Director of MSD.114  </w:t>
        <w:br/>
        <w:t xml:space="preserve">(213) The questions posed in the questionnaire referred, among other issues, to the safety studies conducted by INSUD PHARMA (CHEMO at that time) and the components of the packaging (stability, safety, and efficacy data). INSUD PHARMA expressly responded and requested a confidentiality agreement for the sensitive data contained in its responses, detailing (with reference to U.S. health legislation) that its ring could not be classified as therapeutically equivalent as it was based on a different patent “patent number WO 2013/120888A2 published on August 22, 2013,”115 due to the different polymer composition and that, therefore, it would not be coded as “AB.”  </w:t>
        <w:br/>
        <w:t xml:space="preserve">(214) In the context of these discussions, a meeting took place on January 30, 2015, between the two companies, attended by the Executive Director of Business Development Merck &amp; Co Inc., and two executives representing INSUD PHARMA, the main points of which were summarized in the email also dated January 30, 2015116 indicating that the licensing agreement between both companies and the non-infringing formula (of the patent) of CHEMO's ring would allow MSD to relaunch its product and avoid competition from generics in the following terms:117  </w:t>
        <w:br/>
        <w:t xml:space="preserve">“[…] I would like to summarize some points of the follow-up […] we have developed a non-infringing formula that could be interesting for Merck, allowing you to relaunch your product and thus avoid generic competition […]”  </w:t>
        <w:br/>
        <w:t xml:space="preserve">(215) Regarding these facts, MSD claims that this exchange of information was about a ring with characteristics different from the one ultimately marketed by INSUD PHARMA. MSD does not provide further data about this supposed “other ring” and bases its assertion that they are different rings on the fact that, while the ring referred to in these discussions was to be classified  </w:t>
        <w:br/>
        <w:t xml:space="preserve">114 Email chain between members of MSD and INSUD PHARMA from September 30, 2014, to May 4, 2015, provided by MSD in response to the information request dated July 18, 2019 (folios 1857 to 1870).  </w:t>
        <w:br/>
        <w:t xml:space="preserve">115 Patent WO 2013/120888 A2 published by the World Intellectual Property Organization (WIPO) provided by INSUD PHARMA (folios 498 to 534).  </w:t>
        <w:br/>
        <w:t xml:space="preserve">116 Email dated January 30, 2015, included in the email chain between executives of MSD and INSUD PHARMA dated between September 30, 2014, and May 4, 2015, provided by MSD in response to the information request dated July 18, 2019 (folios 1,866 to 1,868).  </w:t>
        <w:br/>
        <w:t xml:space="preserve">117 Free translation of the original text in English: “[…] I would like to summarize some points of the follow-up […] we have developed a non-infringing formula which could be interesting for Merck, which allows you a new relaunching of your product and so avoid your generic competition […]”  </w:t>
        <w:br/>
        <w:t xml:space="preserve">S/0026/19  </w:t>
        <w:br/>
        <w:t xml:space="preserve">MERCK SHARP DOHME, S.A.  </w:t>
        <w:br/>
        <w:t xml:space="preserve">as non-bioequivalent (not “AB,” according to U.S. regulations), the future competitor of NUVARING was ultimately declared bioequivalent in Spain.  </w:t>
        <w:br/>
        <w:t xml:space="preserve">(216) This allegation cannot succeed. The information then provided by INSUD PHARMA at MSD's request, specifically that contained in the questionnaire referenced in paragraphs (212) and (213) of this resolution, demonstrates that the patent for the ring being developed was the same as that of the ring marketed in 2017, “patent number WO 2013/120888A2,” published on August 22, 2013, and which was the subject of the legal actions taken by MSD that are the subject of this file. Therefore, the negotiations referred to in the preceding paragraphs show that these were not different products, as MSD claims.  </w:t>
        <w:br/>
        <w:t xml:space="preserve">(217) Furthermore, MSD's argument that the ring was not going to be classified as bioequivalent in the United States (not “AB,” according to U.S. regulations) to support that they were different rings also cannot succeed, as the declaration of bioequivalence in the United States is not relevant for these purposes. There are regulatory differences between the U.S. and Europe regarding the qualification of a drug as “generic” or bioequivalent. In the United States, A/B certification differs substantially from the bioavailability studies established in Article 2 of Royal Decree 1345/2007, of December 11, which regulates the authorization, registration, and dispensing conditions of industrially manufactured human medicines and which are required for the determination of bioequivalence in Spain. In any case, bioequivalence only means that the generic product provides an equivalent amount of active substance over a certain period of time, but does not indicate anything about how the above occurs.  </w:t>
        <w:br/>
        <w:t xml:space="preserve">(218) Regarding the coding as AB, it refers to the declaration of bioequivalence in the United States, according to that country's regulations. The truth is that ultimately the product of INSUD PHARMA did obtain the declaration of bioequivalence in Spain, as already indicated in paragraph (109) of this resolution.  </w:t>
        <w:br/>
        <w:t xml:space="preserve">(219) On May 4, 2015, MSD communicated to INSUD PHARMA its decision to focus its efforts on the new version of Nuvaring and not to continue with the proposed collaboration between both companies:118 With this communication, the negotiations were brought to an end.  </w:t>
        <w:br/>
        <w:t xml:space="preserve">118 Email included in the email chain between January 30, 2014, and May 4, 2015, provided by MSD in its response to the information request dated July 18, 2020 (folio 1,867).  </w:t>
        <w:br/>
        <w:t xml:space="preserve">S/0026/19  </w:t>
        <w:br/>
        <w:t xml:space="preserve">MERCK SHARP DOHME, S.A.  </w:t>
        <w:br/>
        <w:t xml:space="preserve">“[…] We have decided to focus our efforts on our own Next Generation Ring that is beginning its third phase of testing […] therefore, we have decided not to continue with this […]”.119  </w:t>
        <w:br/>
        <w:t xml:space="preserve">IV.5.C. From January 2015 to June 2017: monitoring of competing products of its vaginal ring and development of a commercial strategy.  </w:t>
        <w:br/>
        <w:t xml:space="preserve">(220) The document obtained during the inspection of MSD [CONFIDENTIAL] 120.  </w:t>
        <w:br/>
        <w:t xml:space="preserve">(221) The same document analyzes [CONFIDENTIAL]121. At no time is there any mention of an alleged patent infringement by MSD regarding the ring of INSUD PHARMA or any of the generics.  </w:t>
        <w:br/>
        <w:t xml:space="preserve">(222) [CONFIDENTIAL]122  </w:t>
        <w:br/>
        <w:t xml:space="preserve">- [CONFIDENTIAL]  </w:t>
        <w:br/>
        <w:t xml:space="preserve">- [CONFIDENTIAL]  </w:t>
        <w:br/>
        <w:t xml:space="preserve">- [CONFIDENTIAL]  </w:t>
        <w:br/>
        <w:t xml:space="preserve">Image 3. [CONFIDENTIAL]  </w:t>
        <w:br/>
        <w:t xml:space="preserve">Source: folio 4.054.  </w:t>
        <w:br/>
        <w:t xml:space="preserve">(223) [CONFIDENTIAL]  </w:t>
        <w:br/>
        <w:t xml:space="preserve">- [CONFIDENTIAL]123,  </w:t>
        <w:br/>
        <w:t xml:space="preserve">- [CONFIDENTIAL]124  </w:t>
        <w:br/>
        <w:t xml:space="preserve">--[CONFIDENTIAL]  </w:t>
        <w:br/>
        <w:t xml:space="preserve">(224) [CONFIDENTIAL] 125 126 127  </w:t>
        <w:br/>
        <w:t xml:space="preserve">119 [CONFIDENTIAL].  </w:t>
        <w:br/>
        <w:t xml:space="preserve">120 Document [CONFIDENTIAL] (folios 6.446 to 6.465).  </w:t>
        <w:br/>
        <w:t xml:space="preserve">121 Specifically, that information is contained in folio 4.044 of the aforementioned document [CONFIDENTIAL].  </w:t>
        <w:br/>
        <w:t xml:space="preserve">122 Specifically, that information is contained in folio 4.027 of the already mentioned document [CONFIDENTIAL] (folios 6.446 to 6.465).  </w:t>
        <w:br/>
        <w:t xml:space="preserve">123 [CONFIDENTIAL] (folios 6.512 to 6.533).  </w:t>
        <w:br/>
        <w:t xml:space="preserve">124 [CONFIDENTIAL] (folios 4.045, 4.049, 4.051, 4.054, 4.062, 4.071, and 4.083).  </w:t>
        <w:br/>
        <w:t xml:space="preserve">125 [CONFIDENTIAL] (folios 6.466 to 6.511).  </w:t>
        <w:br/>
        <w:t xml:space="preserve">126 ETO/EE: acronyms for etonogestrel/ethinylestradiol, the components of the ring.  </w:t>
        <w:br/>
        <w:t>127 [CONFIDENTIAL].</w:t>
      </w:r>
    </w:p>
    <w:p>
      <w:r>
        <w:rPr>
          <w:b/>
        </w:rPr>
        <w:t>[Pages 58–60]</w:t>
      </w:r>
    </w:p>
    <w:p>
      <w:r>
        <w:t xml:space="preserve">S/0026/19  </w:t>
        <w:br/>
        <w:t xml:space="preserve">MERCK SHARP DOHME, S.A.  </w:t>
        <w:br/>
        <w:t xml:space="preserve">(225) [CONFIDENTIAL]  </w:t>
        <w:br/>
        <w:t xml:space="preserve">(226) As a conclusion of what has been presented in this section, while maintaining bilateral contacts with INSUD, MSD was developing a commercial strategy in light of the loss of exclusivity of its patent. In this strategy, evidenced by documents collected during the inspection, the INSUD product is identified, without labeling it as an infringing product of its patent.  </w:t>
        <w:br/>
        <w:t xml:space="preserve">IV.5.D. Actions of MSD in 2017 coinciding with judicial actions  </w:t>
        <w:br/>
        <w:t xml:space="preserve">(227) While the proceedings for fact verification were being processed, [CONFIDENTIAL] 128.[CONFIDENTIAL]129  </w:t>
        <w:br/>
        <w:t xml:space="preserve">(228) The email [CONFIDENTIAL]130 attached a document [CONFIDENTIAL]131  </w:t>
        <w:br/>
        <w:t xml:space="preserve">Image 4. [CONFIDENTIAL]  </w:t>
        <w:br/>
        <w:t xml:space="preserve">Source: folio 6.310  </w:t>
        <w:br/>
        <w:t xml:space="preserve">[CONFIDENTIAL]  </w:t>
        <w:br/>
        <w:t xml:space="preserve">Image 5. [CONFIDENTIAL]  </w:t>
        <w:br/>
        <w:t xml:space="preserve">Source: folio 6.311  </w:t>
        <w:br/>
        <w:t xml:space="preserve">(229) [CONFIDENTIAL]132  </w:t>
        <w:br/>
        <w:t xml:space="preserve">[CONFIDENTIAL]133  </w:t>
        <w:br/>
        <w:t xml:space="preserve">(230) [CONFIDENTIAL]134  </w:t>
        <w:br/>
        <w:t xml:space="preserve">(231) [CONFIDENTIAL]135  </w:t>
        <w:br/>
        <w:t xml:space="preserve">128 [CONFIDENTIAL] (folios 6.307 and 6.322 and 6.323, 6.324 to 6.326).  </w:t>
        <w:br/>
        <w:t xml:space="preserve">129 [CONFIDENTIAL] (folios 6.307 and 6.322 and 6.323, 6.324 to 6.326).  </w:t>
        <w:br/>
        <w:t xml:space="preserve">130 [CONFIDENTIAL] (folios 6.307 and 6.322 and 6.323, 6.324 to 6.326).  </w:t>
        <w:br/>
        <w:t xml:space="preserve">131 [CONFIDENTIAL] (folios 6.309 to 6.321).  </w:t>
        <w:br/>
        <w:t xml:space="preserve">132 [CONFIDENTIAL] (folios 6.309 to 6.321).  </w:t>
        <w:br/>
        <w:t xml:space="preserve">133 [CONFIDENTIAL] (folios 6.309 to 6.321).  </w:t>
        <w:br/>
        <w:t xml:space="preserve">134 [CONFIDENTIAL] (folios 4.148 to 4.150).  </w:t>
        <w:br/>
        <w:t xml:space="preserve">135 [CONFIDENTIAL] (folios 4.148 to 4.150).  </w:t>
        <w:br/>
        <w:t xml:space="preserve">Comisión Nacional de los Mercados y la Competencia 58 de 158  </w:t>
        <w:br/>
        <w:t xml:space="preserve">C/ Alcalá, 47 – 28014 Madrid - C/ Bolivia, 56 – 08018 Barcelona  </w:t>
        <w:br/>
        <w:t>www.cnmc.es</w:t>
      </w:r>
    </w:p>
    <w:p>
      <w:r>
        <w:t xml:space="preserve">S/0026/19  </w:t>
        <w:br/>
        <w:t xml:space="preserve">MERCK SHARP DOHME, S.A.  </w:t>
        <w:br/>
        <w:t xml:space="preserve">[CONFIDENTIAL].136  </w:t>
        <w:br/>
        <w:t xml:space="preserve">(232) Following the request for fact verification proceedings that had already been agreed upon by the Commercial Court No. 5 of Barcelona by Order of July 14, 2017137 and of which INSUD PHARMA had no knowledge, on August 8, 2017, MSD sent an email to INSUD PHARMA to inquire whether it would be interested in discussing the development of its contraceptive ring and the possibility of finding an amicable way for the CHEMO product:138  </w:t>
        <w:br/>
        <w:t xml:space="preserve">“Please confirm […] that you would be interested in discussing the Chemo vaginal ring and whether there is any amicable way regarding the Chemo product.”139  </w:t>
        <w:br/>
        <w:t xml:space="preserve">(233) [CONFIDENTIAL]140 141  </w:t>
        <w:br/>
        <w:t xml:space="preserve">[CONFIDENTIAL]  </w:t>
        <w:br/>
        <w:t xml:space="preserve">(234) [CONFIDENTIAL]142  </w:t>
        <w:br/>
        <w:t xml:space="preserve">(235) [CONFIDENTIAL]143  </w:t>
        <w:br/>
        <w:t xml:space="preserve">(236) [CONFIDENTIAL]144  </w:t>
        <w:br/>
        <w:t xml:space="preserve">(237) [CONFIDENTIAL]145  </w:t>
        <w:br/>
        <w:t xml:space="preserve">(238) [CONFIDENTIAL]146  </w:t>
        <w:br/>
        <w:t xml:space="preserve">[CONFIDENTIAL]147  </w:t>
        <w:br/>
        <w:t xml:space="preserve">(239) [CONFIDENTIAL]:148  </w:t>
        <w:br/>
        <w:t xml:space="preserve">136 [CONFIDENTIAL]  </w:t>
        <w:br/>
        <w:t xml:space="preserve">137 Order authorizing preliminary proceedings of July 14, 2017 submitted by INSUD PHARMA (folios 678 to 686) and by MSD in its response to the information request made by this Competition Directorate (folios 1.501-1.509).  </w:t>
        <w:br/>
        <w:t xml:space="preserve">138 [CONFIDENTIAL] (folio 1.877).  </w:t>
        <w:br/>
        <w:t xml:space="preserve">139 [CONFIDENTIAL].  </w:t>
        <w:br/>
        <w:t xml:space="preserve">140 [CONFIDENTIAL] (folio 2.787).  </w:t>
        <w:br/>
        <w:t xml:space="preserve">141 [CONFIDENTIAL] (folios 2.787 and 2.788).  </w:t>
        <w:br/>
        <w:t xml:space="preserve">142 [CONFIDENTIAL] (folio 2.788).  </w:t>
        <w:br/>
        <w:t xml:space="preserve">143 [CONFIDENTIAL] (folios 2.792 -2.794).  </w:t>
        <w:br/>
        <w:t xml:space="preserve">144 [CONFIDENTIAL] (folios 4.184 to 4.193).  </w:t>
        <w:br/>
        <w:t xml:space="preserve">145 [CONFIDENTIAL] (folios 4.184 to 4.193).  </w:t>
        <w:br/>
        <w:t xml:space="preserve">146 [CONFIDENTIAL] (folios 2.885 to 2.897).  </w:t>
        <w:br/>
        <w:t xml:space="preserve">147 [CONFIDENTIAL].  </w:t>
        <w:br/>
        <w:t xml:space="preserve">148 [CONFIDENTIAL] (folios 2.885 to 2.897).  </w:t>
        <w:br/>
        <w:t xml:space="preserve">Comisión Nacional de los Mercados y la Competencia 59 de 158  </w:t>
        <w:br/>
        <w:t xml:space="preserve">C/ Alcalá, 47 – 28014 Madrid - C/ Bolivia, 56 – 08018 Barcelona  </w:t>
        <w:br/>
        <w:t>www.cnmc.es</w:t>
      </w:r>
    </w:p>
    <w:p>
      <w:r>
        <w:t xml:space="preserve">S/0026/19  </w:t>
        <w:br/>
        <w:t xml:space="preserve">MERCK SHARP DOHME, S.A.  </w:t>
        <w:br/>
        <w:t xml:space="preserve">[CONFIDENTIAL].149  </w:t>
        <w:br/>
        <w:t xml:space="preserve">(240) [CONFIDENTIAL] 150 151  </w:t>
        <w:br/>
        <w:t xml:space="preserve">(241) [CONFIDENTIAL]152  </w:t>
        <w:br/>
        <w:t xml:space="preserve">(242) [CONFIDENTIAL]  </w:t>
        <w:br/>
        <w:t xml:space="preserve">(243) On October 25, 2017, INSUD PHARMA sent a letter to MSD, expressing its surprise at the request for precautionary measures, considering the correspondence between both parties from June to September 2017, and INSUD PHARMA's availability to provide at all times the information requested by MSD. Specifically, in the aforementioned letter, INSUD PHARMA stated that:153  </w:t>
        <w:br/>
        <w:t xml:space="preserve">“In the letter dated June 22, 2017, the advisor of León Farma and Exeltis clearly responded to MSD's warning letter of June 13, 2017, explaining clearly why the products did not infringe patent EP´815 …in that letter, the advisor of INSUD PHARMA confirmed our willingness to provide additional information. MSD did not respond to that letter. The advisor reiterated that possibility in another letter dated September 8. MSD also did not respond. CHEMO reported that the products did not contain etogenestrel in their core in any degree of supersaturation (as would be required to infringe patent EP´815). However, MSD has intentionally avoided receiving information that proved the above… León Farma and Exeltis are suffering substantial financial losses as a result of the precautionary measures…”  </w:t>
        <w:br/>
        <w:t xml:space="preserve">IV.5.E. Assessment by MSD of the judicial actions undertaken (2018)  </w:t>
        <w:br/>
        <w:t xml:space="preserve">(244) Next, an analysis is made of how the action taken against INSUD PHARMA was internally assessed within MSD based on the internal documents collected during the inspection at MSD's headquarters.  </w:t>
        <w:br/>
        <w:t xml:space="preserve">(245) [CONFIDENTIAL]154  </w:t>
        <w:br/>
        <w:t xml:space="preserve">“[CONFIDENTIAL]”.  </w:t>
        <w:br/>
        <w:t xml:space="preserve">149 [CONFIDENTIAL]  </w:t>
        <w:br/>
        <w:t xml:space="preserve">150 [CONFIDENTIAL] (folios 3.009 to 3.012).  </w:t>
        <w:br/>
        <w:t xml:space="preserve">151 [CONFIDENTIAL] (folios 3.009 to 3.012).  </w:t>
        <w:br/>
        <w:t xml:space="preserve">152 Folios 4.184 to 4.193.  </w:t>
        <w:br/>
        <w:t xml:space="preserve">153 Letter from INSUD PHARMA dated October 25, 2017 submitted by MSD in response to the information request (folios 1.916 to 1.918).  </w:t>
        <w:br/>
        <w:t xml:space="preserve">154 Document [CONFIDENTIAL] (folios 6.366 to 6.408).  </w:t>
        <w:br/>
        <w:t xml:space="preserve">Comisión Nacional de los Mercados y la Competencia 60 de 158  </w:t>
        <w:br/>
        <w:t xml:space="preserve">C/ Alcalá, 47 – 28014 Madrid - C/ Bolivia, 56 – 08018 Barcelona  </w:t>
        <w:br/>
        <w:t>www.cnmc.es</w:t>
      </w:r>
    </w:p>
    <w:p>
      <w:r>
        <w:rPr>
          <w:b/>
        </w:rPr>
        <w:t>[Pages 61–63]</w:t>
      </w:r>
    </w:p>
    <w:p>
      <w:r>
        <w:t xml:space="preserve">S/0026/19  </w:t>
        <w:br/>
        <w:t xml:space="preserve">MERCK SHARP DOHME, S.A.  </w:t>
        <w:br/>
        <w:t xml:space="preserve">(246) [CONFIDENTIAL]”155 [CONFIDENTIAL] 156  </w:t>
        <w:br/>
        <w:t xml:space="preserve">Image 6. [CONFIDENTIAL]  </w:t>
        <w:br/>
        <w:t xml:space="preserve">Source: folio 3.106  </w:t>
        <w:br/>
        <w:t xml:space="preserve">(247) In this same document MSD states that the sales of Nuvaring [CONFIDENTIAL].  </w:t>
        <w:br/>
        <w:t xml:space="preserve">Image 7. [CONFIDENTIAL].  </w:t>
        <w:br/>
        <w:t xml:space="preserve">Source: Folio 6.389  </w:t>
        <w:br/>
        <w:t xml:space="preserve">(248) [CONFIDENTIAL]  </w:t>
        <w:br/>
        <w:t xml:space="preserve">Image 1. [CONFIDENTIAL]  </w:t>
        <w:br/>
        <w:t xml:space="preserve">Image 8. [CONFIDENTIAL]  </w:t>
        <w:br/>
        <w:t xml:space="preserve">Source: Folio 6.418  </w:t>
        <w:br/>
        <w:t xml:space="preserve">(249) [CONFIDENTIAL]]157  </w:t>
        <w:br/>
        <w:t xml:space="preserve">[CONFIDENTIAL]  </w:t>
        <w:br/>
        <w:t xml:space="preserve">(250) [CONFIDENTIAL] 158  </w:t>
        <w:br/>
        <w:t xml:space="preserve">(251) [CONFIDENTIAL] 159.  </w:t>
        <w:br/>
        <w:t xml:space="preserve">IV.5.F. Communication between MSD and INSUD regarding a possible out-of-court agreement.  </w:t>
        <w:br/>
        <w:t xml:space="preserve">(252) On November 26, 2018, INSUD PHARMA contacted MSD to suggest a suspension of the initiated judicial process in order to allow for out-of-court negotiations. This email was answered on the same day by MSD agreeing to the request and resulted in the judicial suspension of the procedure referred to in section IV.4.G of this resolution.160 No further communications on this matter are recorded.  </w:t>
        <w:br/>
        <w:t xml:space="preserve">V. LEGAL GROUNDS  </w:t>
        <w:br/>
        <w:t xml:space="preserve">V.1. [FIRST] Competence to resolve, subject of the procedure and applicable general regulations  </w:t>
        <w:br/>
        <w:t xml:space="preserve">(253) It is the responsibility of the Competition Chamber of the CNMC Council to resolve sanctioning procedures under the LDC regarding conduct that prevents, restricts, and distorts competition.161  </w:t>
        <w:br/>
        <w:t xml:space="preserve">V.2. [SECOND] Proposal of the instructing body  </w:t>
        <w:br/>
        <w:t xml:space="preserve">(254) The DC proposes to this Chamber that the existence of prohibited conduct under Article 2 of the LDC and 102 of the TFEU, carried out by MERCK SHARP &amp; DOHME DE ESPAÑA, S.A., consisting of an abuse of dominant position through a strategy of anticompetitive legal actions aimed at delaying and hindering the entry into the market of products manufactured by INSUD PHARMA between at least March 7, 2013, and April 9, 2018, be declared.  </w:t>
        <w:br/>
        <w:t xml:space="preserve">(255) According to the PR, MSD would be considered directly responsible and its parent company MSD HUMAN HEALTH HOLDING, B.V. jointly liable.  </w:t>
        <w:br/>
        <w:t xml:space="preserve">(256) This proposal from the instructing body was subject to requalification by this Chamber which, as already indicated in paragraph (13), by resolution of September 8, 2022, agreed to modify the legal qualification of the infringement and the proposed sanction prepared by the DC. According to the new qualification submitted for the parties' hearing, we are faced with a single infringement of abuse of dominant position - through the exercise of unfounded legal actions with the purpose of harassing a competitor - which begins with the submission of the request for the verification of facts on June 27, 2017, and ends with the termination of the judicial procedure due to expiration on December 4, 2020.  </w:t>
        <w:br/>
        <w:t xml:space="preserve">160 Emails between INSUD PHARMA and MSD submitted by MSD to the file.  </w:t>
        <w:br/>
        <w:t xml:space="preserve">161 According to Articles 5.1.c) and 20.2 of Law 3/2013, of June 4, establishing the National Commission of Markets and Competition (LCNMC) and Article 14.1.a) of the Organic Statute of the CNMC, approved by Royal Decree 657/2013, of August 30.  </w:t>
        <w:br/>
        <w:t xml:space="preserve">S/0026/19  </w:t>
        <w:br/>
        <w:t xml:space="preserve">MERCK SHARP DOHME, S.A.  </w:t>
        <w:br/>
        <w:t xml:space="preserve">V.3. [THIRD] Assessment of the Competition Chamber  </w:t>
        <w:br/>
        <w:t xml:space="preserve">V.3.A. Preliminary considerations  </w:t>
        <w:br/>
        <w:t xml:space="preserve">(257) The nature of this case makes it advisable to make a series of conceptual references prior to the analysis of the conduct.  </w:t>
        <w:br/>
        <w:t xml:space="preserve">On the relationship between Patent Law and free competition  </w:t>
        <w:br/>
        <w:t xml:space="preserve">(258) Intellectual property rights confer an exclusive right that allows their holder to prevent competitors from manufacturing and marketing certain products. However, this should not lead us to conclude that intellectual property and free competition are antagonistic or irreconcilable systems.  </w:t>
        <w:br/>
        <w:t xml:space="preserve">(259) Competition Law and Intellectual Property Law converge towards the achievement of the same objective: the attainment of welfare and the efficient allocation of resources.162  </w:t>
        <w:br/>
        <w:t xml:space="preserve">(260) In this regard, the considerations expressed by the European Commission in the Guidelines on the application of Article 101 of the Treaty on the Functioning of the European Union to technology transfer agreements, Recital 7 (2014/C 89/03)163, are telling, where it states:  </w:t>
        <w:br/>
        <w:t xml:space="preserve">“The fact that intellectual property legislation confers exclusive exploitation rights does not imply that intellectual property rights are immune to Competition Law. (…) Nor does it imply that there is an inherent conflict between intellectual property rights and EU competition rules. In fact, both bodies of law pursue the same basic objective of promoting consumer welfare and efficient resource allocation. Innovation is an essential and dynamic component of an open and competitive market economy. Intellectual property rights foster dynamic competition by inducing companies to invest in the development of new or improved products and processes. Competition does the same by forcing companies to innovate. Thus, both intellectual property rights and competition are necessary to promote innovation and its competitive exploitation” (emphasis added).  </w:t>
        <w:br/>
        <w:t xml:space="preserve">(261) The Directive on the enforcement of intellectual property rights, which aims to approximate national laws to ensure a level of  </w:t>
        <w:br/>
        <w:t xml:space="preserve">162 This reflection, originating from U.S. jurisprudence [case Atari Games Corp. v. Nintendo of America, Inc., [897 F.2d 1.572, 1.576 (Fed. Cir. 1990)] would be transferred to Community Law in the Guidelines for the application of Article 81 to Technology Transfer Agreements. Guidelines on the application of Article 81 of the EC Treaty to technology transfer agreements (2004/C 101/02) C 101/2 Official Journal of the European Union 27.4.2004  </w:t>
        <w:br/>
        <w:t>163 Guidelines on the application of Article 101 of the Treaty on the Functioning of the European Union to technology transfer agreements, Recital 7, 2014/C 89/03.</w:t>
      </w:r>
    </w:p>
    <w:p>
      <w:r>
        <w:rPr>
          <w:b/>
        </w:rPr>
        <w:t>[Pages 64–66]</w:t>
      </w:r>
    </w:p>
    <w:p>
      <w:r>
        <w:t xml:space="preserve">S/0026/19  </w:t>
        <w:br/>
        <w:t xml:space="preserve">MERCK SHARP DOHME, S.A.  </w:t>
        <w:br/>
        <w:t xml:space="preserve">protection of intellectual property is high, equivalent, and homogeneous in the internal market as stated in its recital 10164:  </w:t>
        <w:br/>
        <w:t xml:space="preserve">“aims to ensure full respect for intellectual property in accordance with paragraph 2 of Article 17 of [the Charter of Fundamental Rights]”  </w:t>
        <w:br/>
        <w:t xml:space="preserve">Recital 32 specifies that “it should not affect the application of competition rules, in particular Articles [101 TFEU] and [102 TFEU],” and recital 12 states that “the measures established in this Directive should not be used to unduly restrict competition, contrary to the Treaty.”  </w:t>
        <w:br/>
        <w:t xml:space="preserve">Competition and patents in the pharmaceutical sector.  </w:t>
        <w:br/>
        <w:t xml:space="preserve">(262) This Chamber considers it necessary to contextualize the practice being judged here to help understand how competitive relationships between companies function when patent rights are involved. More specifically, when the practice (as is the case raised here) affects the relationships between generics and manufacturers of original products.  </w:t>
        <w:br/>
        <w:t xml:space="preserve">(263) This Commission has already expressed its views on the importance of a pro-competitive patent system in the exercise of its competition promotion activities. In this regard, it is worth mentioning the IPN/DP/004/14165 on the draft Patent Law, in which this Commission emphasized the importance of patents as an instrument to promote innovation. The CNMC advocated for “strong” patents that protect only innovative inventions and that are granted after a rigorous examination. In contrast, “weak” patents should have no place in a pro-competitive system, as they lead to “the creation of barriers to entry since the burden of challenging these exclusive rights is transferred to the defendants – and thus, current or potential competitors.”  </w:t>
        <w:br/>
        <w:t xml:space="preserve">(264) In the IPN/CNMC/019/16 (Report on the PRD approving the Regulation for the implementation of Law 24/2015, of July 24, on Patents), it delves into these same ideas and dedicates specific sections to the competition problems observed in relation to pharmaceutical patents.  </w:t>
        <w:br/>
        <w:t xml:space="preserve">164 2004, L 157, p. 45.  </w:t>
        <w:br/>
        <w:t xml:space="preserve">165 IPN/DP/004/14. Other reports in which the CNMC has analyzed regulations on patents include IPN/CNMC/019/16: Report on the PRD approving the Regulation for the implementation of Law 24/2015, of July 24, on Patents and IPN/CNMC/024/22 Draft Law amending Law 17/2001, of December 7, on Trademarks, Law 20/2003, of July 7, on the legal protection of industrial design, and Law 24/2015, of July 24, on Patents.  </w:t>
        <w:br/>
        <w:t xml:space="preserve">Commission Nacional de los Mercados y la Competencia 64 of 158  </w:t>
        <w:br/>
        <w:t xml:space="preserve">C/ Alcalá, 47 – 28014 Madrid - C/ Bolivia, 56 – 08018 Barcelona  </w:t>
        <w:br/>
        <w:t>www.cnmc.es</w:t>
      </w:r>
    </w:p>
    <w:p>
      <w:r>
        <w:t xml:space="preserve">S/0026/19  </w:t>
        <w:br/>
        <w:t xml:space="preserve">MERCK SHARP DOHME, S.A.  </w:t>
        <w:br/>
        <w:t xml:space="preserve">(265) In July 2009, the European Commission published its Investigation Report on the pharmaceutical sector (hereinafter, the Commission Report), which aimed to analyze the reasons for delays in the arrival of generic drugs to the market and the apparent decrease in innovation, measured by the number of new drugs appearing on the market.166 To this end, the Commission examined the practices that original drug companies may use to block or delay competition posed by generics, as well as to block or delay the development of competing original products. The investigation found that the average gap between the loss of exclusivity dates of original drugs and the first marketing of generics was over 7 months. For the best-selling drugs, the average gap was 4 months. These delays are significant for consumers, as the price at which generics began to be sold was, on average, 25% lower than that of original drugs before the loss of exclusivity. After two years, the prices of generics were, on average, 40% lower than the prices of originals. The prices of original products also seem to decrease after the marketing of generics.  </w:t>
        <w:br/>
        <w:t xml:space="preserve">(266) Regarding patent strategies, the investigation revealed strategies to extend the scope and duration of the protection conferred by their patents, in order to block or hinder the entry of generics into the market. Among these practices, the Commission identified strategies to block access for generics to the market. These include the abuse of judicial processes or anti-competitive exercise of the right to litigate (abuse of litigation and sham litigation) as a means to obstruct and delay the entry of generic companies, especially new entrants and smaller companies.167 Patent litigation  </w:t>
        <w:br/>
        <w:t xml:space="preserve">166 Investigation Report on the pharmaceutical sector that culminated in 2009 (see the analytical summary in Spanish at the following link). The preparation of this Report stems from the Commission Decision of January 15, 2008, which opened an investigation into the pharmaceutical sector in accordance with Article 17 of Council Regulation (EC) No. 1/2003 (Case No. COMP/D2/39.514).  </w:t>
        <w:br/>
        <w:t xml:space="preserve">167 Other strategies identified in the study include: patent settlement (agreements between original drug laboratories and generics). In many cases, they aim to delay the entry of generics into the market (pay for delay agreements) and involve a transfer of value from the original laboratory to the generics; patent thicket: filing numerous patents for the same drug to extend the scope and duration of the protection conferred with the aim of delaying or blocking the marketing of generic drugs; product hopping or evergreening: the strategic filing of patents on incremental innovations (second-generation drugs) with little therapeutic improvements solely to delay the entry of generics (and maintain high prices and margins); deliberately providing incorrect information (fraud or misrepresentation) for anti-competitive purposes; “defensive patents,” used among original drug companies primarily to exclude competitors without seeking innovation. Unjustified refusals -objectively unjustified and subject to sanction for abuse of dominant position- to grant licenses for the production of an active ingredient.  </w:t>
        <w:br/>
        <w:t xml:space="preserve">Commission Nacional de los Mercados y la Competencia 65 of 158  </w:t>
        <w:br/>
        <w:t xml:space="preserve">C/ Alcalá, 47 – 28014 Madrid - C/ Bolivia, 56 – 08018 Barcelona  </w:t>
        <w:br/>
        <w:t>www.cnmc.es</w:t>
      </w:r>
    </w:p>
    <w:p>
      <w:r>
        <w:t xml:space="preserve">S/0026/19  </w:t>
        <w:br/>
        <w:t xml:space="preserve">MERCK SHARP DOHME, S.A.  </w:t>
        <w:br/>
        <w:t xml:space="preserve">between innovative laboratories and generic producers quadrupled between 2000 and 2007.  </w:t>
        <w:br/>
        <w:t xml:space="preserve">(267) Regarding the issue of litigation, (point 3.2.2.), the Report indicates that seeking the protection of the courts for patents is legitimate and a fundamental right guaranteed by the European Convention on Human Rights: it constitutes an effective means of ensuring that patents are respected. However, litigation is also an effective means of creating obstacles for generic companies, especially smaller ones. In certain cases, original companies may view such litigation not for itself, but rather as a deterrent signal to generic product manufacturers.  </w:t>
        <w:br/>
        <w:t xml:space="preserve">(268) The Commission Report delves into “provisional measures” (precautionary measures), whose average duration of granted provisional measures was 18 months and only 64% of the proceedings on precautionary measures concluded with a judgment in favor of the claimant.  </w:t>
        <w:br/>
        <w:t xml:space="preserve">(269) As a continuation of the work undertaken, the European Commission, on January 28, 2019, published the Report on the application of competition rules in the pharmaceutical sector (2009-2017) (hereinafter, the Commission Report) addressed to the Parliament and the Council.168 It presents a summary of how the Commission and the national competition authorities of the twenty-eight Member States (“European competition authorities”) have applied EU competition law and merger control in the pharmaceutical sector during the period 2009-2017. This Report acknowledges potential anti-competitive strategies based on litigation in industrial property, whose purpose is precisely to delay or hinder the entry of generic drug products (emphasis added):169  </w:t>
        <w:br/>
        <w:t xml:space="preserve">“(...) the entry into the market of generic drugs brings benefits to patients and national health systems and, on the other hand, contributes to significantly reducing the profits of original drug companies that are no longer protected by a patent. To mitigate the impact of the entry of generics, original drug companies often design and implement a variety of strategies to extend the commercial life of their drugs  </w:t>
        <w:br/>
        <w:t xml:space="preserve">168 REPORT OF THE COMMISSION TO THE COUNCIL AND THE EUROPEAN PARLIAMENT ON THE APPLICATION OF COMPETITION RULES IN THE PHARMACEUTICAL SECTOR (2009-2017) Collaboration between European competition authorities in favor of affordable and innovative medicines COM/2019/17 final, incorporated into the file on pages 7,875 to 7,927.  </w:t>
        <w:br/>
        <w:t xml:space="preserve">169 The Report includes a sample of 219 drugs whose patents expired in the period 2000-2007 in 17 Member States, and estimates that additional savings of 3 billion euros could have been achieved if generic drugs had entered the market earlier.  </w:t>
        <w:br/>
        <w:t xml:space="preserve">Commission Nacional de los Mercados y la Competencia 66 of 158  </w:t>
        <w:br/>
        <w:t xml:space="preserve">C/ Alcalá, 47 – 28014 Madrid - C/ Bolivia, 56 – 08018 Barcelona  </w:t>
        <w:br/>
        <w:t>www.cnmc.es</w:t>
      </w:r>
    </w:p>
    <w:p>
      <w:r>
        <w:rPr>
          <w:b/>
        </w:rPr>
        <w:t>[Pages 67–69]</w:t>
      </w:r>
    </w:p>
    <w:p>
      <w:r>
        <w:t xml:space="preserve">S/0026/19  </w:t>
        <w:br/>
        <w:t xml:space="preserve">MERCK SHARP DOHME, S.A.  </w:t>
        <w:br/>
        <w:t xml:space="preserve">innovative (for example, patent application strategies, litigation and objections in patent matters, settlement agreements, interventions before the competent authorities, and lifecycle strategies for imitation products). Although these practices are not in themselves illegitimate, in certain cases they are subject to close scrutiny by the competition authorities.”  </w:t>
        <w:br/>
        <w:t xml:space="preserve">On the unlawful exercise of judicial actions  </w:t>
        <w:br/>
        <w:t xml:space="preserve">(270) Another issue that this Chamber must resolve relates to the judicial actions exercised by MSD. It should be noted that free access to jurisdiction and judicial process is a fundamental right recognized in the European Convention on Human Rights (art. 6 and in Article 24 of the Spanish Constitution).170  </w:t>
        <w:br/>
        <w:t xml:space="preserve">(271) However, this is not an unconditional or absolute right. Thus, the Constitutional Court has recognized, among others, in its ruling STC 12/1998,171 of January 15, which states:  </w:t>
        <w:br/>
        <w:t xml:space="preserve">“As we have declared on very many occasions, the fundamental right enshrined in Article 24.1 CE is not a right of freedom, exercisable as such and directly from the Constitution, nor is it an absolute or unconditional right but rather a right of legal configuration, so that the legislator within its scope of powers can establish limits to full access to jurisdiction, always understood that such limits are reasonable and proportionate with respect to the ends that it may legitimately pursue within the framework of the Constitution.”  </w:t>
        <w:br/>
        <w:t xml:space="preserve">(272) Continuing with the doctrine of the Constitutional Court,172 the right to effective judicial protection may be subject to restrictions “to the extent that the restriction serves the effectiveness or promotion of other goods or fundamental rights and public freedoms constitutionally protected […]”. Thus, the Constitutional Court itself recognizes that the abusive exercise of the right to litigate is not protected by the right to effective judicial protection and is among the purposes that the legislator may legitimately pursue to limit the free exercise of access to free jurisdiction.  </w:t>
        <w:br/>
        <w:t xml:space="preserve">170 Spanish Constitution, “BOE” No. 311, of 29/12/1978 Convention for the Protection of Human Rights and Fundamental Freedoms, “BOE” No. 243, of October 10, 1979, pages 23,564 to 23,570 (7 pages). The right to effective judicial protection is also recognized internationally in various legislative texts, including Article 10 of the Universal Declaration of Human Rights of 1948, Article 14.1 of the International Covenant on Civil and Political Rights of 1966.  </w:t>
        <w:br/>
        <w:t xml:space="preserve">171 STC 12/1998, of January 15, 1998.  </w:t>
        <w:br/>
        <w:t xml:space="preserve">172 Judgment of the Constitutional Court 3/1983, of January 25.  </w:t>
        <w:br/>
        <w:t xml:space="preserve">Comisión Nacional de los Mercados y la Competencia 67 de 158  </w:t>
        <w:br/>
        <w:t xml:space="preserve">C/ Alcalá, 47 – 28014 Madrid - C/ Bolivia, 56 – 08018 Barcelona  </w:t>
        <w:br/>
        <w:t>www.cnmc.es</w:t>
      </w:r>
    </w:p>
    <w:p>
      <w:r>
        <w:t xml:space="preserve">S/0026/19  </w:t>
        <w:br/>
        <w:t xml:space="preserve">MERCK SHARP DOHME, S.A.  </w:t>
        <w:br/>
        <w:t xml:space="preserve">(273) Article 11.2 of Organic Law 6/1985, of July 1, on the Judiciary173 establishes that: “The Courts and Tribunals shall reasonably reject requests, incidents, and exceptions that are made with manifest abuse of rights or entail fraud of law or procedural fraud.”  </w:t>
        <w:br/>
        <w:t xml:space="preserve">(274) Likewise, Article 7.2 of the Civil Code regulates the figure of abuse of rights as one of the limits to the exercise of effective judicial protection and, in particular, establishes that:  </w:t>
        <w:br/>
        <w:t xml:space="preserve">“The Law does not protect the abuse of rights or the antisocial exercise thereof. Any act or omission that, by the intention of its author, by its object or by the circumstances in which it is carried out, manifestly exceeds the normal limits of the exercise of a right, to the detriment of a third party, shall give rise to the corresponding compensation and to the adoption of judicial or administrative measures that prevent the persistence in the abuse.”  </w:t>
        <w:br/>
        <w:t xml:space="preserve">(275) The jurisprudence of the Supreme Court174 has indicated that “within the area of the concept of abuse of rights, there is a very limited field of action, as is doctrinally known as abuse of rights and the right to litigate, and which can be defined as that aspect of the abuse of rights relating to determining whether a person who maintains manifestly indefinite claims or claims aimed at purposes other than those natural to the social function of the process or the so-called right to litigate incurs liability within a judicial dispute.”  </w:t>
        <w:br/>
        <w:t xml:space="preserve">(276) In the same vein, the jurisprudence of the CJEU175 establishes that abuse of rights “requires, on the one hand, that a series of objective circumstances exist from which it follows that, despite having formally respected the conditions laid down by community regulations, the objective pursued by such regulations has not been achieved and, on the other hand, a subjective element consisting of the intention to obtain a benefit resulting from community regulations, artificially creating the conditions required for its attainment.”  </w:t>
        <w:br/>
        <w:t xml:space="preserve">(277) Once it has been established that the right to exercise judicial actions is not an absolute or unlimited right, it is necessary to continue the legal analysis to determine under what circumstances it may constitute an abuse of a dominant position and whether this is the case here.  </w:t>
        <w:br/>
        <w:t xml:space="preserve">173 Organic Law 6/1985, of July 1, on the Judiciary, “BOE” No. 157, of 02/07/1985.  </w:t>
        <w:br/>
        <w:t xml:space="preserve">174 Judgment of the Civil Chamber of the Supreme Court 63/1999, of February 6, FD 1.  </w:t>
        <w:br/>
        <w:t xml:space="preserve">175 Judgment of the CJEU of December 14, 2000, Eusland- Stärke GmbHC vs Hauptzollamt Hamburg- Jonas, Case C- 110/99, EU:C:2000:695, paragraph 52.  </w:t>
        <w:br/>
        <w:t xml:space="preserve">Comisión Nacional de los Mercados y la Competencia 68 de 158  </w:t>
        <w:br/>
        <w:t xml:space="preserve">C/ Alcalá, 47 – 28014 Madrid - C/ Bolivia, 56 – 08018 Barcelona  </w:t>
        <w:br/>
        <w:t>www.cnmc.es</w:t>
      </w:r>
    </w:p>
    <w:p>
      <w:r>
        <w:t xml:space="preserve">S/0026/19  </w:t>
        <w:br/>
        <w:t xml:space="preserve">MERCK SHARP DOHME, S.A.  </w:t>
        <w:br/>
        <w:t xml:space="preserve">V.3.B. Qualification of the analyzed conduct. Applicable regulations: Article 2 LDC and 102 TFEU  </w:t>
        <w:br/>
        <w:t xml:space="preserve">(278) The purpose of this resolution is to determine whether MSD has engaged in conduct constituting an abuse of a dominant position as defined in Articles 2 LDC and 102 TFEU.  </w:t>
        <w:br/>
        <w:t xml:space="preserve">(279) Article 2 of the LDC establishes that:  </w:t>
        <w:br/>
        <w:t xml:space="preserve">“1. The abusive exploitation by one or more companies of their dominant position in all or part of the national market is prohibited.”  </w:t>
        <w:br/>
        <w:t xml:space="preserve">(280) For its part, Article 102 of the Treaty on the Functioning of the European Union establishes that:  </w:t>
        <w:br/>
        <w:t xml:space="preserve">“Abusive exploitation by one or more companies of a dominant position in the internal market or in a substantial part of it shall be incompatible with the internal market and shall be prohibited, insofar as it may affect trade between Member States.”  </w:t>
        <w:br/>
        <w:t xml:space="preserve">(281) The essential elements that define the abuse of a dominant position are two: the dominant position and its abusive exploitation.  </w:t>
        <w:br/>
        <w:t xml:space="preserve">In the following sections, the relevant market affected by the investigated conduct will be analyzed, whether MSD holds a dominant position therein, and, if so, whether the practice under review constitutes an abuse of such position.  </w:t>
        <w:br/>
        <w:t xml:space="preserve">V.3.C. Definition of the relevant market  </w:t>
        <w:br/>
        <w:t xml:space="preserve">Relevant product market  </w:t>
        <w:br/>
        <w:t xml:space="preserve">(282) The relevant product market groups together the set of products or services that consumers perceive as substitutes since, based on their characteristics, they are particularly suitable for satisfying permanent needs and are scarcely substitutable by other products or services.176  </w:t>
        <w:br/>
        <w:t xml:space="preserve">176 Judgment of the CJEU of November 9, 1983, Case C-322/81, Michelin I, EU:C:1983:313, paragraph 37, Judgment of the CJEU of December 17, 2003, T-219/99, British Airways, EU: T:2003:343, paragraph 91, Judgment of the General Court of July 1, 2010, T-321/05, AstraZeneca, EU: T:2010:266, paragraph 31. See also the Commission Communication regarding the definition of the relevant market for the purposes of community competition law (97/C 372/03), paragraph 7.  </w:t>
        <w:br/>
        <w:t xml:space="preserve">Comisión Nacional de los Mercados y la Competencia 69 de 158  </w:t>
        <w:br/>
        <w:t xml:space="preserve">C/ Alcalá, 47 – 28014 Madrid - C/ Bolivia, 56 – 08018 Barcelona  </w:t>
        <w:br/>
        <w:t>www.cnmc.es</w:t>
      </w:r>
    </w:p>
    <w:p>
      <w:r>
        <w:rPr>
          <w:b/>
        </w:rPr>
        <w:t>[Pages 70–72]</w:t>
      </w:r>
    </w:p>
    <w:p>
      <w:r>
        <w:t xml:space="preserve">S/0026/19  </w:t>
        <w:br/>
        <w:t xml:space="preserve">MERCK SHARP DOHME, S.A.  </w:t>
        <w:br/>
        <w:t xml:space="preserve">(283) The Communication of the European Commission regarding the definition of the reference market for the purposes of EU competition law establishes (p. 5.7) 177:  </w:t>
        <w:br/>
        <w:t xml:space="preserve">The reference product market comprises all products and services that consumers consider interchangeable or substitutable by reason of their characteristics, price, or the intended use.  </w:t>
        <w:br/>
        <w:t xml:space="preserve">Market characterization  </w:t>
        <w:br/>
        <w:t xml:space="preserve">(284) The Commission's Report indicates that innovation and investment in R&amp;D in the pharmaceutical sector are essential for the development of new or improved treatments that increase the range of medicines offered to patients and doctors178. It adds that the existence of these incentives in the pharmaceutical sector can lead to anti-competitive practices, hindering or obstructing patients' access to cutting-edge and affordable medicines. Considering the particularities and competitive dynamics of this sector, in order to ensure compliance with competition regulations, it is deemed essential to include an analysis of the various parties involved and the different interests and objectives in the pharmaceutical market.  </w:t>
        <w:br/>
        <w:t xml:space="preserve">According to the Report, the demand in the pharmaceutical market would be composed of179:  </w:t>
        <w:br/>
        <w:t xml:space="preserve">- Patients, as the end users of medicines.  </w:t>
        <w:br/>
        <w:t xml:space="preserve">- Prescribers, mostly doctors, who decide regarding the prescription medication, which the patient should use, and may also advise these patients on over-the-counter medications.  </w:t>
        <w:br/>
        <w:t xml:space="preserve">- Pharmacies that also have the capacity to influence the demand for medicines and that in some cases have incentives for pharmacists to dispense the cheapest available version of a particular product.  </w:t>
        <w:br/>
        <w:t xml:space="preserve">- Private and public health insurance, whose reimbursement system affects demand and influences the behavior of prescribers and pharmacists.  </w:t>
        <w:br/>
        <w:t xml:space="preserve">177 Communication of the Commission regarding the definition of the reference market for the purposes of EU competition law (97/C 372/03).  </w:t>
        <w:br/>
        <w:t xml:space="preserve">178 Report of the Commission to the Council and the European Parliament on the application of competition rules in the Pharmaceutical Sector, 2009-2017 (folios 7.875 to 7.927).  </w:t>
        <w:br/>
        <w:t xml:space="preserve">179 Folios 7.893 to 7.895 of the Report of the Commission to the Council and the European Parliament on the application of competition rules in the Pharmaceutical Sector, 2009-2017 (folios 7.875 to 7.927).  </w:t>
        <w:br/>
        <w:t xml:space="preserve">Comisión Nacional de los Mercados y la Competencia 70 de 158  </w:t>
        <w:br/>
        <w:t xml:space="preserve">C/ Alcalá, 47 – 28014 Madrid - C/ Bolivia, 56 – 08018 Barcelona  </w:t>
        <w:br/>
        <w:t>www.cnmc.es</w:t>
      </w:r>
    </w:p>
    <w:p>
      <w:r>
        <w:t xml:space="preserve">S/0026/19  </w:t>
        <w:br/>
        <w:t xml:space="preserve">MERCK SHARP DOHME, S.A.  </w:t>
        <w:br/>
        <w:t xml:space="preserve">On the supply side, the existence of manufacturers with different business models is described180:  </w:t>
        <w:br/>
        <w:t xml:space="preserve">- Originator drug companies dedicated to "research, development, manufacturing, marketing, and supply of innovative medicines" and that generally seek to compete to be the first to discover, patent, and launch a new drug to the market.  </w:t>
        <w:br/>
        <w:t xml:space="preserve">- Generic drug manufacturers that "supply non-innovative generic versions181 of the originator drug after the originator drug companies lose exclusivity and, typically, do so at significantly lower prices."  </w:t>
        <w:br/>
        <w:t xml:space="preserve">- Distributors, who supply both originator and generic medicines and develop different business strategies depending on the type of product.  </w:t>
        <w:br/>
        <w:t xml:space="preserve">- Wholesalers, who are responsible for the distribution of medicines, purchasing them from manufacturers and selling them to pharmacies and hospitals.  </w:t>
        <w:br/>
        <w:t xml:space="preserve">- The different types of pharmacies (online, mail-order, traditional physical pharmacies, and hospital pharmacies) that perform the dual function of advising and dispensing medicines to patients.  </w:t>
        <w:br/>
        <w:t xml:space="preserve">(285) In a highly regulated sector such as pharmaceuticals, Member States play a fundamental role in maintaining competition (safety, efficiency, and effectiveness) within the current legislative framework. Likewise, the degree of competition will also be affected by the life cycle of medicines.182  </w:t>
        <w:br/>
        <w:t xml:space="preserve">(286) The Commission itself states that the life cycle of a medicine consists of three phases:  </w:t>
        <w:br/>
        <w:t xml:space="preserve">- A first phase of product launch that begins with the discovery of a new chemical compound, generally through basic research.183 It continues with testing to determine its safety and efficacy by originator drug manufacturers. For this purpose, the chemical compound will first be evaluated through laboratory tests (preclinical phase) and, secondly, through clinical trials in humans. Thus, once the studies demonstrate that the developed medicine is effective and safe, the company that developed it will apply for marketing authorization from the regulatory agency.184  </w:t>
        <w:br/>
        <w:t xml:space="preserve">- A second phase of product marketing characterized by the exclusivity of marketing new medicines. As highlighted in the Report, in light of the high costs of developing innovative chemical compounds, the legislative framework grants originator companies several exclusivity mechanisms. Thus, through so-called "compound" or "primary" patents, the exclusivity of the active ingredient of originator medicines is protected.  </w:t>
        <w:br/>
        <w:t xml:space="preserve">- A third phase of loss of patent protection for the originator medicine and the consequent entry of generic medicines into the market, which is essential for dynamic competition in the market, as it leads to reduced sales of original medicines and average prices, savings in healthcare medicine costs, greater access for patients to medicines, and increased innovation in the pharmaceutical sector.  </w:t>
        <w:br/>
        <w:t xml:space="preserve">(287) To define a market in the field of contraception, it must be considered that all contraceptive methods have in common the prevention of conception during a woman's fertile life. There are different types of contraceptives that can be grouped into several blocks: natural methods (cycle control), barrier methods (condom or diaphragm), combined hormonal oral contraceptives (pill), combined non-oral hormonal contraceptives (patch and ring), emergency contraception, subcutaneous implant, copper intrauterine device, hormonal intrauterine device, progestin-only oral method, female sterilization, and male sterilization.185  </w:t>
        <w:br/>
        <w:t xml:space="preserve">(288) Regarding groups of medicines, the European Commission and the CNMC have been using the Anatomical Therapeutic Chemical Classification System (ATC) of the European Pharmaceutical Marketing Research Association (hereinafter, "EphMRA") as a starting point for market definitions in the pharmaceutical sector.186 This is a methodology for classifying medicines based on their therapeutic properties and with different levels of disaggregation. In this system, the first level of the ATC classification (ATC1)  </w:t>
        <w:br/>
        <w:t xml:space="preserve">184 At the community level, this is handled by the European Medicines Agency and at the national level, by the Spanish Agency for Medicines and Health Products (AEMPS).  </w:t>
        <w:br/>
        <w:t xml:space="preserve">185 Data provided by INSUD PHARMA (folios 2.106 to 2.619).  </w:t>
        <w:br/>
        <w:t xml:space="preserve">186 Classification devised for marketing purposes by the European Pharmaceutical Marketing Association (EphMRA) and classifies medicines according to a hierarchical alphanumeric system at different levels.  </w:t>
        <w:br/>
        <w:t xml:space="preserve">Comisión Nacional de los Mercados y la Competencia 72 de 158  </w:t>
        <w:br/>
        <w:t xml:space="preserve">C/ Alcalá, 47 – 28014 Madrid - C/ Bolivia, 56 – 08018 Barcelona  </w:t>
        <w:br/>
        <w:t>www.cnmc.es</w:t>
      </w:r>
    </w:p>
    <w:p>
      <w:r>
        <w:rPr>
          <w:b/>
        </w:rPr>
        <w:t>[Pages 73–75]</w:t>
      </w:r>
    </w:p>
    <w:p>
      <w:r>
        <w:t xml:space="preserve">S/0026/19  </w:t>
        <w:br/>
        <w:t xml:space="preserve">MERCK SHARP DOHME, S.A.  </w:t>
        <w:br/>
        <w:t xml:space="preserve">distinguishes the anatomical groups in which the drugs act; the second level (ATC2) includes the main therapeutic groups; at the third level (ATC3) drugs are grouped based on their therapeutic properties; at the fourth level (ATC4) drugs are grouped according to their mode of action; and at the fifth level (ATC5) they are grouped according to the active ingredient or pharmacological association.187  </w:t>
        <w:br/>
        <w:t xml:space="preserve">(289) According to this classification system, in category G3A at ATC level 3, "Systemic hormonal contraceptives" would be included, and within this, other subgroups for different oral contraceptives would be located: pills, vaginal rings, and emergency contraceptives.  </w:t>
        <w:br/>
        <w:t xml:space="preserve">(290) Specifically classified in Group G03A9 at ATC level 4 under the title "Other systemic hormonal contraceptives," are hormonal vaginal rings, along with other types of contraceptive methods such as injectables, implants, intrauterine devices or IUDs that contain hormones, and transdermal patches, methods with very different characteristics from those of the ring.  </w:t>
        <w:br/>
        <w:t xml:space="preserve">Definition of market proposed by the instructing body  </w:t>
        <w:br/>
        <w:t xml:space="preserve">(291) The instructing body adopts a narrow definition of the market, restricting it to the Spanish market for combined hormonal contraceptives of the ring type.  </w:t>
        <w:br/>
        <w:t xml:space="preserve">To reach this conclusion, it is based on national and European precedents, which contemplate the possibility of delimiting the relevant market in the pharmaceutical sector more narrowly depending on the circumstances of each specific case.  </w:t>
        <w:br/>
        <w:t xml:space="preserve">Moreover, the lack of substitutability between vaginal rings and the rest of systemic hormonal contraceptives is considered (taking into account prescription and choice elements, among other variables). Considering the various factors, it is deduced that the different types of contraceptives would not be interchangeable with each other due to:  </w:t>
        <w:br/>
        <w:t xml:space="preserve">- medical criteria (therapeutic utility of the different contraceptives),  </w:t>
        <w:br/>
        <w:t xml:space="preserve">- the specific characteristics of each product, specifically the mode of administration and the mode of action;  </w:t>
        <w:br/>
        <w:t xml:space="preserve">187 Information from the website: https://www.ephmra.org/classification/anatomical-classification  </w:t>
        <w:br/>
        <w:t xml:space="preserve">Comisión Nacional de los Mercados y la Competencia 73 de 158  </w:t>
        <w:br/>
        <w:t xml:space="preserve">C/ Alcalá, 47 – 28014 Madrid - C/ Bolivia, 56 – 08018 Barcelona  </w:t>
        <w:br/>
        <w:t>www.cnmc.es</w:t>
      </w:r>
    </w:p>
    <w:p>
      <w:r>
        <w:t xml:space="preserve">S/0026/19  </w:t>
        <w:br/>
        <w:t xml:space="preserve">MERCK SHARP DOHME, S.A.  </w:t>
        <w:br/>
        <w:t xml:space="preserve">All of this is based on scientific studies, which point to the pharmacokinetic differences in the use of self-administered hormonal contraceptives via the vaginal route in relation to other contraceptives.188  </w:t>
        <w:br/>
        <w:t xml:space="preserve">Among the criteria that support the proposed market definition, it is also considered that user preference plays a fundamental role in the choice of contraceptive method. This element was already considered in the European Commission's Communication regarding the definition of the relevant market for the purposes of European competition law as one of the assessment elements used to define markets.189  </w:t>
        <w:br/>
        <w:t xml:space="preserve">(292) The instructing body also took into account the fact that only other vaginal rings exert competitive pressure on the Nuvaring vaginal ring. It follows that the market is restricted to competing products considering the market structure and the competitive conditions that are verified therein.  </w:t>
        <w:br/>
        <w:t xml:space="preserve">In this regard, the instructing body recalls that the European Commission's Decision of April 22, 2020, establishes that original drugs and their generics constitute a separate market from other pharmaceutical products, to the extent that generics are designed to exert competitive pressure on the original and normally present the closest substitute to them.190  </w:t>
        <w:br/>
        <w:t xml:space="preserve">It also recalls that the Court of Justice had determined the circumstances under which a reference drug should be considered interchangeable only with its generics, and consequently, belonging to a specific market, limited to the drugs that contained that active ingredient.191  </w:t>
        <w:br/>
        <w:t xml:space="preserve">(293) The DC states that such a situation is extrapolable to the case at hand. Both the Ornibel ring from INSUD PHARMA and the other vaginal contraceptive rings marketed in Spain are classified as generics of the Nuvaring ring (original drug of MSD), on which they exert direct competitive pressure192. This is demonstrated by the evolution of Nuvaring's sales and prices, following the entry of generic products into the market.  </w:t>
        <w:br/>
        <w:t xml:space="preserve">(294) The impact that the entry of these generics had on Nuvaring's sales is evident in the data provided by IQVIA.193 In them, as detailed in the following graph, it is verified that Nuvaring's sales did not stop falling after the entry of generic vaginal contraceptive rings:  </w:t>
        <w:br/>
        <w:t xml:space="preserve">Image 9. Evolution of ring sales in Spain between 2017 and 2020  </w:t>
        <w:br/>
        <w:t xml:space="preserve">Source: folios 6.972 to 6.984.  </w:t>
        <w:br/>
        <w:t xml:space="preserve">(295) In light of the data referenced in the tables contained in the Proposal for Resolution, the instructing body found that the disparity in the evolution of the combined hormonal contraceptive categories highlighted that they follow a different commercial and competitive dynamic depending on their relevant variables (such as mode of administration, mode of action, or user preferences).  </w:t>
        <w:br/>
        <w:t xml:space="preserve">[CONFIDENTIAL]194  </w:t>
        <w:br/>
        <w:t xml:space="preserve">[CONFIDENTIAL]  </w:t>
        <w:br/>
        <w:t xml:space="preserve">MSD's own public documentation recognizes the direct and immediate correlation between the decline in Nuvaring sales (up to 73%) and the  </w:t>
        <w:br/>
        <w:t xml:space="preserve">192 Femloop (EFG), Setlona (EFG), Ringo (EFG), and Dolna (EFG).  </w:t>
        <w:br/>
        <w:t xml:space="preserve">193 Information provided by INSUD PHARMA dated February 11 (folios 6.972 to 6.984).  </w:t>
        <w:br/>
        <w:t xml:space="preserve">194 [CONFIDENTIAL] folios 4.045, 4.049, 4.051, 4.054, 4.062, 4.071, and 4.083).  </w:t>
        <w:br/>
        <w:t xml:space="preserve">Comisión Nacional de los Mercados y la Competencia 75 de 158  </w:t>
        <w:br/>
        <w:t xml:space="preserve">C/ Alcalá, 47 – 28014 Madrid - C/ Bolivia, 56 – 08018 Barcelona  </w:t>
        <w:br/>
        <w:t>www.cnmc.es</w:t>
      </w:r>
    </w:p>
    <w:p>
      <w:r>
        <w:rPr>
          <w:b/>
        </w:rPr>
        <w:t>[Pages 76–78]</w:t>
      </w:r>
    </w:p>
    <w:p>
      <w:r>
        <w:t xml:space="preserve">S/0026/19  </w:t>
        <w:br/>
        <w:t xml:space="preserve">MERCK SHARP DOHME, S.A.  </w:t>
        <w:br/>
        <w:t xml:space="preserve">the emergence of other competing (generic) rings195. However, the decline in sales is not influenced by the entry into the market of other types of contraceptives.  </w:t>
        <w:br/>
        <w:t xml:space="preserve">Therefore, it can be concluded that alternative contraceptive methods do not belong to the same market, as they are not considered interchangeable with the vaginal ring.  </w:t>
        <w:br/>
        <w:t xml:space="preserve">(296) For all the above reasons, the instructing body confirmed that the relevant market is exclusively confined to the realm of one type of combined hormonal contraceptives, the vaginal rings, as they are not interchangeable with each other and the Nuvaring vaginal ring is only subject to the competitive pressure exerted by other vaginal rings (generics). Combined hormonal contraceptives, such as vaginal rings, constitute a relevant market in themselves.  </w:t>
        <w:br/>
        <w:t xml:space="preserve">MSD's allegations regarding the definition of the relevant market  </w:t>
        <w:br/>
        <w:t xml:space="preserve">(297) In its written submissions to the Resolution Proposal, MSD questions such a conclusion. It argues that contraceptive rings compete at least with the other main combined hormonal contraceptives (“AHCs”), such that the vaginal ring would be substitutive of other methods such as pills, patches, implants, or injectable combined hormonal contraceptives. In support of its arguments, they provide an expert report issued by gynecologist Dr. I.L.196  </w:t>
        <w:br/>
        <w:t xml:space="preserve">(298) MSD presents two arguments to challenge the market definition, which it refers to as “effective clinical practice” and the strong degree of substitutability existing within the group of combined hormonal contraceptives. Regarding “effective clinical practice,” it argues that the vaginal ring has the same use as other contraceptive methods, as the main prescription elements included in the technical data sheets of contraceptive rings are common to all AHCs. Regarding the degree of substitutability, it argues that the rings would have a strong degree of substitutability from the perspective of user demand with the other main contraceptive methods.  </w:t>
        <w:br/>
        <w:t xml:space="preserve">195 First registration report of MSD submitted to the Securities &amp; Exchanges Commission (SEC) of the United States on March 17, 2021 published on MSD's website, incorporated into the file (folios 9.769 to 10.023).  </w:t>
        <w:br/>
        <w:t xml:space="preserve">196 Expert report Dr. I.L.L., provided by MSD in its submissions to the resolution proposal (folios 10.751 – 10.757).  </w:t>
        <w:br/>
        <w:t xml:space="preserve">Comisión Nacional de los Mercados y la Competencia 76 de 158  </w:t>
        <w:br/>
        <w:t xml:space="preserve">C/ Alcalá, 47 – 28014 Madrid - C/ Bolivia, 56 – 08018 Barcelona  </w:t>
        <w:br/>
        <w:t>www.cnmc.es</w:t>
      </w:r>
    </w:p>
    <w:p>
      <w:r>
        <w:t xml:space="preserve">S/0026/19  </w:t>
        <w:br/>
        <w:t xml:space="preserve">MERCK SHARP DOHME, S.A.  </w:t>
        <w:br/>
        <w:t xml:space="preserve">Conclusions of the Chamber on the definition of the relevant market  </w:t>
        <w:br/>
        <w:t xml:space="preserve">(299) This Chamber has been able to verify that the reality of the impact on the market from the introduction of generics; the referenced studies on women's choices, in which their short-term substitutability is not assessed; as well as the indications from the European Commission referred to, contradict the argument of substitutability put forth by MSD.197  </w:t>
        <w:br/>
        <w:t xml:space="preserve">(300) The CJEU has stated that a situation in which there is an offer of generic medicines containing the same active ingredient as the reference medicine creates a situation in which the reference medicine is considered interchangeable only with its generics and, therefore, belongs to a specific market, limited to medicines that contain that active ingredient.198  </w:t>
        <w:br/>
        <w:t xml:space="preserve">(301) To define the market, the EU practice in the pharmaceutical sector has been followed, taking the ATC3 level as a reference and considering that in many cases the classification at this level does not provide the appropriate definition.199 In fact, the European Commission's Decision of April 22, 2020 expressly states that200:  </w:t>
        <w:br/>
        <w:t xml:space="preserve">“When defining relevant markets in past decisions […] the Commission has often referred to the third level (ATC3) as the starting point for defining the relevant product market. However, in several cases, the Commission found that the ATC3 classification did not provide the appropriate market definition in the sense of the Commission's Communication on the definition of Relevant Market” (emphasis added).  </w:t>
        <w:br/>
        <w:t xml:space="preserve">Furthermore, the European Commission has indicated that, in cases where the ATC3 level does not provide an adequate market definition, “the ATC4 level has often been considered as a possible alternative market definition.”  </w:t>
        <w:br/>
        <w:t xml:space="preserve">197 Communication from the Commission regarding the definition of the reference market for the purposes of Community competition law, OJ C 372 of 9.12.1997, p. 5, para. 7: “The reference product market comprises all products and services that consumers consider interchangeable or substitutable by reason of their characteristics, price, or intended use.”  </w:t>
        <w:br/>
        <w:t xml:space="preserve">198 Judgment of the CJEU (Fourth Chamber) of January 30, 2020, Generics (UK) and others v. Competition and Markets Authority, C-307/18, EU:C:2020:52, paragraph 131.  </w:t>
        <w:br/>
        <w:t xml:space="preserve">199 Recent community precedents have precisely emphasized that the ATC3 level constitutes the starting point in defining the relevant market in the pharmaceutical sector: case M.8889 - TEVA / PGT OTC ASSETS of June 29, 2018, case M.8974 - PROCTER &amp; GAMBLE / MERCK CONSUMER HEALTH BUSINESS of August 27, 2018, case M.9044 - CVC / RECORDATI of December 4, 2018, case M.9274 - GLAXOSMITHKLINE / PFIZER CONSUMER HEALTHCARE BUSINESS of July 10, 2019, case M.9517 - MYLAN / UPJOHN of April 22, 2020.  </w:t>
        <w:br/>
        <w:t xml:space="preserve">200 Decision of the European Commission of April 22, 2020 in case M.9517 - MYLAN / UPJOHN.  </w:t>
        <w:br/>
        <w:t xml:space="preserve">Comisión Nacional de los Mercados y la Competencia 77 de 158  </w:t>
        <w:br/>
        <w:t xml:space="preserve">C/ Alcalá, 47 – 28014 Madrid - C/ Bolivia, 56 – 08018 Barcelona  </w:t>
        <w:br/>
        <w:t>www.cnmc.es</w:t>
      </w:r>
    </w:p>
    <w:p>
      <w:r>
        <w:t xml:space="preserve">S/0026/19  </w:t>
        <w:br/>
        <w:t xml:space="preserve">MERCK SHARP DOHME, S.A.  </w:t>
        <w:br/>
        <w:t xml:space="preserve">This level constitutes an additional subdivision that can be based on therapeutic or, more frequently, pharmacological criteria, such as the class of molecule, formulation, or mode of action.”201  </w:t>
        <w:br/>
        <w:t xml:space="preserve">(302) In the present case, it has been established that the ATC3 level includes contraceptive methods that present excessively different routes of administration, posology, composition, dosage, and side effects and that therefore could not, despite being at the same level, be considered substitutes. In fact, it can be stated that they do not even share the characteristics considered by users when choosing a contraceptive method.  </w:t>
        <w:br/>
        <w:t xml:space="preserve">(303) In this file, a particular pharmaceutical specialty is analyzed (the contraceptives), drugs that are used to prevent conception throughout a woman's fertile age and that are not necessarily used or prescribed to treat a specific pathology, but to inhibit the ovulatory cycle of women.202 The advantages of some drugs over others are particularly relevant in the specific case of contraceptive methods, as they are intended for “healthy” women in a state of fertility and not for patients with any pathology, so the user's preference and their specific characteristics are essential in the choice of contraceptive method, in determining the substitutability between contraceptive methods, and consequently, in defining the relevant market.  </w:t>
        <w:br/>
        <w:t xml:space="preserve">In most cases, the contraceptive is not used to treat a specific gynecological or hormonal pathology, but simply to prevent pregnancy, so user preferences play a decisive role in the choice and purchase of a particular contraceptive method (even at the level of requesting a prescription from the gynecologist).  </w:t>
        <w:br/>
        <w:t xml:space="preserve">Considerations come into play that are usually not present in the choice of other drugs such as: the convenience of using the contraceptive, the “risk of forgetfulness” associated with pills, the more or less invasive nature of one method or another, the visibility of patches, the effectiveness of each method, or even the experiences of family and acquaintances.  </w:t>
        <w:br/>
        <w:t xml:space="preserve">(304) What MSD refers to as “effective clinical practice” cannot be a criterion for defining the market in this case, as it does not take into account a fundamental element: women when choosing a contraceptive method over others.  </w:t>
        <w:br/>
        <w:t xml:space="preserve">201 Among others, in the Decision of February 4, 2009, Case No COMP/M.5253 - SANOFI-AVENTIS / ZENTIVA.  </w:t>
        <w:br/>
        <w:t xml:space="preserve">202 When it is necessary to treat a pathology (e.g., endometriosis; irregularity of the menstrual cycle), it is usual for the user to presumably follow the recommendations of their prescribing physician regarding the most suitable contraceptive for their particular case.  </w:t>
        <w:br/>
        <w:t xml:space="preserve">Comisión Nacional de los Mercados y la Competencia 78 de 158  </w:t>
        <w:br/>
        <w:t xml:space="preserve">C/ Alcalá, 47 – 28014 Madrid - C/ Bolivia, 56 – 08018 Barcelona  </w:t>
        <w:br/>
        <w:t>www.cnmc.es</w:t>
      </w:r>
    </w:p>
    <w:p>
      <w:r>
        <w:rPr>
          <w:b/>
        </w:rPr>
        <w:t>[Pages 79–81]</w:t>
      </w:r>
    </w:p>
    <w:p>
      <w:r>
        <w:t xml:space="preserve">S/0026/19  </w:t>
        <w:br/>
        <w:t xml:space="preserve">MERCK SHARP DOHME, S.A.  </w:t>
        <w:br/>
        <w:t xml:space="preserve">possible options take into account multiple needs and exercise a wide freedom of choice among different methods available to them. This freedom that women exercise when choosing a contraceptive method is not comparable in any way to the limited or nonexistent freedom faced by a sick person who needs treatment. In such a case, the sick person generally does not choose; the choice of treatment is made by healthcare professionals under what MSD refers to as "effective clinical practice." In the case raised here, it is the woman who chooses the method, and the vaginal ring is, in itself, a contraceptive method. Evidence of this is that the dissemination of this method is directed at women and not at doctors, which shows that it is they who choose. For example, this article can be cited203:  </w:t>
        <w:br/>
        <w:t xml:space="preserve">“WHAT ARE THE ADVANTAGES OF THE VAGINAL RING?  </w:t>
        <w:br/>
        <w:t xml:space="preserve">This method offers numerous advantages over other contraceptive methods such as the pill. Among them, we can highlight the following:  </w:t>
        <w:br/>
        <w:t xml:space="preserve">Forgetfulness is avoided because you put it on once a month and forget about it until, at least, three weeks later.  </w:t>
        <w:br/>
        <w:t xml:space="preserve">Since it has a local action and not a systemic one like the pill, the doses are lower and the possible side effects (such as headache, breast tension, migraine, or nausea) are also reduced.  </w:t>
        <w:br/>
        <w:t xml:space="preserve">If the instructions for use are followed properly, the effectiveness level of the ring as a contraceptive is over 99%.  </w:t>
        <w:br/>
        <w:t xml:space="preserve">And, moreover, since the hormones are absorbed in the vagina, unlike the contraceptive pill, its effectiveness is not affected by digestive disturbances such as vomiting and diarrhea.”  </w:t>
        <w:br/>
        <w:t xml:space="preserve">(305) It is unrealistic to think that a user would choose "at random" or "with their eyes closed" from such a wide range of contraceptive methods. This does not happen because each woman makes the decision about her preferred contraceptive method. Once she has identified the contraceptive method that best suits her needs (ring, patch, pill...), she can choose among different brands, but not another different method, for example, the patch, the IUD, or the implant, since these are not substitutes for the vaginal ring, as they do not address the differential criteria of why the ring is chosen.  </w:t>
        <w:br/>
        <w:t xml:space="preserve">(306) In light of this, the definition of the market at the ATC3 level is not appropriate because there is no alleged substitutability among the different contraceptive methods.  </w:t>
        <w:br/>
        <w:t xml:space="preserve">203 Excerpt from the article published by RECOLETAS RED HOSPITALARIA dated October 7, 2021, titled “WHAT ARE THE BENEFITS OF THE VAGINAL RING COMPARED TO OTHER CONTRACEPTIVE METHODS?” included in the file by decision of the instructing body (folios 10.066 to 10.072).  </w:t>
        <w:br/>
        <w:t xml:space="preserve">S/0026/19  </w:t>
        <w:br/>
        <w:t xml:space="preserve">MERCK SHARP DOHME, S.A.  </w:t>
        <w:br/>
        <w:t xml:space="preserve">This is consistent with the recent precedents of the European Commission when it states that the so-called pharmaceutical form (route of administration or galenic form204) is an essential element for defining the reference product market, as it limits the substitutability of drugs.205 Therefore, the preference of users is considered a determining element for analyzing the alleged substitutability claimed by MSD and that consequently conditions the correct definition of the relevant market.  </w:t>
        <w:br/>
        <w:t xml:space="preserve">(307) Being this element of special relevance, it is not the only one that the Competition Chamber has analyzed to determine the appropriate definition of the relevant market.  </w:t>
        <w:br/>
        <w:t xml:space="preserve">In the internal documents of MSD [CONFIDENTIAL]  </w:t>
        <w:br/>
        <w:t xml:space="preserve">(308) In the same vein, it should be added, as INSUD PHARMA has pointed out in its allegations to the PCH, that MSD's own public documentation recognizes the direct and immediate correlation between the decline in sales of Nuvaring (up to 73%) and the emergence of other rings (competing generics).206 It is not mentioned, as a cause of this decline, the competition exerted by other types of contraceptives, which appeared on the market at the same time as the generics of Nuvaring.207  </w:t>
        <w:br/>
        <w:t xml:space="preserve">(309) It should also be noted that the European Commission considers that generic drugs and their original drugs form a relevant market concerning other products, reinforcing the market definition proposed by the DC and adopted by the Chamber.  </w:t>
        <w:br/>
        <w:t xml:space="preserve">(310) Finally, contrary to the specific allegation made by MSD in which it provides an expert report from Dr. I.L., this Chamber, in line with what has already been made evident by the instructing body, considers that it does not alter the definition made  </w:t>
        <w:br/>
        <w:t xml:space="preserve">204 For the purposes of the Decisions of the European Commission, the concept "galenic form" encompasses posology (or dosage), pharmaceutical form, method, and route of administration.  </w:t>
        <w:br/>
        <w:t xml:space="preserve">205 Decision of July 29, 2015, case COMP/M.7645 - MYLAN/ PERRIGO, decision of December 18, 2015 M.7872 - NOVARTIS / GSK (OFATUMUMAB AUTOIMMUNE INDICATIONS), decision of March 10, 2016 case M.7746 - TEVA / ALLERGAN GENERICS, decision of December 20, 2017 case M.8675 - CVC / TEVA'S WOMEN'S HEALTH BUSINESS, decision of June 29, 2018 case M.8889 - TEVA / PGT OTC ASSETS, decision of August 27, 2018, case M.8974 - PROCTER &amp; GAMBLE / MERCK CONSUMER HEALTH BUSINESS, decision of December 4, 2018, case M.9044 - CVC / RECORDATI, decision of July 10, 2019, case M.9274 -GLAXOSMITHKLINE /PFIZER CONSUMER HEALTHCARE BUSINESS, decision of April 22, 2020 in case M.9517 - MYLAN / UPJOHN.  </w:t>
        <w:br/>
        <w:t xml:space="preserve">206 First registration report of MSD submitted to the Securities &amp; Exchanges Commission (SEC) of the United States on March 17, 2021 published on MSD's website, included in the file (folios 9.769 to 10.023).  </w:t>
        <w:br/>
        <w:t xml:space="preserve">207 Information provided by INSUD PHARMA in its allegations of March 2, 2022 (folios 9.589 to 9.644).  </w:t>
        <w:br/>
        <w:t xml:space="preserve">S/0026/19  </w:t>
        <w:br/>
        <w:t xml:space="preserve">MERCK SHARP DOHME, S.A.  </w:t>
        <w:br/>
        <w:t xml:space="preserve">nor can it be taken into account due to its partial nature, given the public relationship and professional linkage of this specialist with MSD.208  </w:t>
        <w:br/>
        <w:t xml:space="preserve">(311) In light of all the above, and considering all the information in the file, this Chamber agrees with the Directorate of Competition and concludes that the relevant market is limited to the manufacture and marketing of a single type of hormonal contraceptives, the vaginal rings.  </w:t>
        <w:br/>
        <w:t xml:space="preserve">Geographic market  </w:t>
        <w:br/>
        <w:t xml:space="preserve">(312) According to European and Spanish practice, the dimension of the market for medicines is national given the existing differences in the regulation of member states, pricing policies, purchasing and financing by the different health systems, as well as the diversity of brands, dosages, distribution systems, and reimbursement by national health authorities209.  </w:t>
        <w:br/>
        <w:t xml:space="preserve">(313) In the present case, combined hormonal contraceptives, such as the vaginal ring, in their capacity as medicines that may be subject to financing by the Spanish National Health System, are subject to the previously indicated applicable Spanish sectoral regulations, as well as to the supervision of the Spanish Agency for Medicines and Health Products, AEMPS. Therefore, the previous aspects make the geographic market for the manufacture and marketing of combined hormonal contraceptive medicines, such as the vaginal ring, national.  </w:t>
        <w:br/>
        <w:t xml:space="preserve">V.3.D. Dominant position  </w:t>
        <w:br/>
        <w:t xml:space="preserve">General principles  </w:t>
        <w:br/>
        <w:t xml:space="preserve">(314) The jurisprudence of the European Union defines a dominant position as the “economic power of a company that allows it to hinder the maintenance of effective competition in the relevant market, by giving it the ability to act to a large extent independently of its competitors, its customers, and ultimately consumers.”210  </w:t>
        <w:br/>
        <w:t xml:space="preserve">208 Information from MSD's profile on Twitter, included in the file (folios 10.073 and 10.074).  </w:t>
        <w:br/>
        <w:t xml:space="preserve">209 Decision of the Commission of June 10, 1991, case IV/M.072- Sanofi/ Sterling Drug and C-0324 Laboratories Thea SAS/ Novartis Assets; N-05095 Faes Farma/ Ipsen, N-03041 Idec/ Biogen; C/0832/17 Janssen/ Esteve- Assets, of March 14, 2017 Files C/0925/18 Recordati/Mylan, of March 22, 2018, N-05095 FAES FARMA/IPSEN.  </w:t>
        <w:br/>
        <w:t xml:space="preserve">210 Judgment of the Court of Justice of February 14, 1978, United Brands Company and United Brands Continentaal BV against the Commission of the European Communities, Chiquita Bananas, Case 27/76, (ECLI:EU:C:1978:22) [United Brands].  </w:t>
        <w:br/>
        <w:t xml:space="preserve">Comisión Nacional de los Mercados y la Competencia 81 de 158  </w:t>
        <w:br/>
        <w:t xml:space="preserve">C/ Alcalá, 47 – 28014 Madrid - C/ Bolivia, 56 – 08018 Barcelona  </w:t>
        <w:br/>
        <w:t>www.cnmc.es</w:t>
      </w:r>
    </w:p>
    <w:p>
      <w:r>
        <w:rPr>
          <w:b/>
        </w:rPr>
        <w:t>[Pages 82–84]</w:t>
      </w:r>
    </w:p>
    <w:p>
      <w:r>
        <w:t xml:space="preserve">S/0026/19  </w:t>
        <w:br/>
        <w:t xml:space="preserve">MERCK SHARP DOHME, S.A.  </w:t>
        <w:br/>
        <w:t xml:space="preserve">(315) Following this doctrinal line, the Spanish Competition Authority has defined the dominant position as the economic power situation in which a company finds itself and which allows it to prevent effective competition in the relevant market. In this regard, it has stated211:  </w:t>
        <w:br/>
        <w:t xml:space="preserve">" A company enjoys a dominant position in a market when it has sufficient economic power and independence of behavior to act without taking into account the possible reactions of competitors and, in this way, is able to modify to its advantage the price or another characteristic of the product.”  </w:t>
        <w:br/>
        <w:t xml:space="preserve">(316) This margin of independence from competitors and/or customers that determines the dominant position of a particular economic operator should not be absolute, but it is sufficient for it to be "appreciable" or "considerable."212  </w:t>
        <w:br/>
        <w:t xml:space="preserve">(317) The essential factor for determining the dominant position is the existence of high market shares as indicated by the European Commission Communication "Guidelines on the priorities of enforcement in applying Article 82 of the EC Treaty to the abusive exclusionary conduct of dominant companies," "market shares provide a first useful indication for the Commission regarding the structure of the market and the relative importance of the various companies active in the market" and "experience suggests that the higher the market share and the longer the period during which that share is held, the more likely it is to constitute an important preliminary indication of the existence of a dominant position."213  </w:t>
        <w:br/>
        <w:t xml:space="preserve">In this same sense, the doctrine and jurisprudence of the EU have stated214:  </w:t>
        <w:br/>
        <w:t xml:space="preserve">211 For example, resolution of the extinct TDC of May 10, 1999 (exp. 344/98 Aluminios Navarra), of July 7, 1999 (exp. 441/98 Electra Avellana) and of September 30, 1999 (exp. 362/99 Bacardí), resolution of the extinct CNC of February 22, 2011, (exp. S/0180/10 ArcelorMittal) and resolution of the CNMC of June 8, 2017 (exp. S/DC/0557/15 Nokia), of May 30, 2019 (exp. S/DC/0590/16 DAMA VS SGAE) and of February 18, 2022 (exp. S/0041/19 CORREOS 3).  </w:t>
        <w:br/>
        <w:t xml:space="preserve">212 Resolution of the CNC of March 17, 2011 (Expediente S/0153/09 Mediapro).  </w:t>
        <w:br/>
        <w:t xml:space="preserve">213 Paragraphs 13 and 15 of the European Commission Communication "Guidelines on the priorities of enforcement of the Commission in applying Article 82 of the EC Treaty to the abusive exclusionary conduct of dominant companies."  </w:t>
        <w:br/>
        <w:t xml:space="preserve">214 Case AT.39740 Google Search (Shopping) confirmed by the Judgment of the General Court of November 10, 2021, Google LLC, formerly Google Inc. and Alphabet, Inc. v. European Commission, Case T-612/17. EU:T:2021:763, in which, in turn, precedents are cited in which this assertion has been reiterated (Case 85/76 Hoffman-La Roche v Commission, Case T-65/98 Van den Bergh Foods vs Commission, Case T-336/07 Telefonica SA v Commission, Case C-62/86 Azko v Commission, Case T-30/89 Hilti v Commission, joined Cases T-191/98, T-212/98, T-214/98 Atlantic Container Line and Others v Commission, among others).  </w:t>
        <w:br/>
        <w:t xml:space="preserve">Comisión Nacional de los Mercados y la Competencia 82 de 158  </w:t>
        <w:br/>
        <w:t xml:space="preserve">C/ Alcalá, 47 – 28014 Madrid - C/ Bolivia, 56 – 08018 Barcelona  </w:t>
        <w:br/>
        <w:t>www.cnmc.es</w:t>
      </w:r>
    </w:p>
    <w:p>
      <w:r>
        <w:t xml:space="preserve">S/0026/19  </w:t>
        <w:br/>
        <w:t xml:space="preserve">MERCK SHARP DOHME, S.A.  </w:t>
        <w:br/>
        <w:t xml:space="preserve">"the existence of very high market shares, [...], except in exceptional circumstances, proves the existence of a dominant position. A company that has a very high market share for a period of time, without smaller competitors being able to quickly meet the demand of those who wish to break away from that company, is by virtue of that market share an unavoidable business partner as they ensure, at least for relatively long periods, that freedom of action which is the special characteristic of a dominant position. This is the case of a company that has a market share of 50% or more. Likewise, a share of between 70% and 80% is, in itself, a clear indication of the existence of a dominant position in a relevant market.”  </w:t>
        <w:br/>
        <w:t xml:space="preserve">In this regard, regarding the specific circumstances to establish a dominant position by the holder of a patent, the Judgment of the General Court of the EU of July 1, 2010, Astrazeneca AB and Astrazeneca plc v. Commission (hereinafter, Astrazeneca Judgment) has indicated215.  </w:t>
        <w:br/>
        <w:t xml:space="preserve">“the possession for a long time of an extremely high market share constitutes, except in exceptional circumstances, proof of the existence of a dominant position216 [...] In this regard, it follows from the case law that market shares above 50% constitute very high market shares (Judgment of the Court of Justice of July 3, 1991, AKZO/Commission, C-62/86, Rec. p. I-3359, paragraph 60) and that a market share of between 70% and 80% constitutes by itself a clear indication of the existence of a dominant position (Judgments of the General Court Hilti/Commission, cited in paragraph 242 above, paragraph 92, and of September 30, 2003, Atlantic Container Line and others/Commission, T-191/98, T-212/98 to T-214/98, Rec. p. II-3275, paragraph 907).”  </w:t>
        <w:br/>
        <w:t xml:space="preserve">(318) High market shares are not the only factor to establish a company's dominant position. As the CJEU also pointed out in the Astrazeneca case, "the existence of a dominant position is, in general, the result of a combination of various factors that, considered in isolation, would not necessarily be decisive."217  </w:t>
        <w:br/>
        <w:t xml:space="preserve">Therefore, to assess the dominant position, it is necessary to conduct a structural analysis of the market and take into account other important factors, such as the likelihood of entry of potential competitors or the future expansion of actual competitors, along with entry barriers and the bargaining power of the company's customers (countervailing demand power).218  </w:t>
        <w:br/>
        <w:t xml:space="preserve">(319) It should be noted, in this regard, that the exclusive rights generated by intellectual property instruments such as patents do not necessarily generate "per se" market power because in many cases, there are other products in the relevant market that can be considered immediately substitutable by consumers. However, in a case where such substitute products do not exist, the patent generates a dominant position for its holder that allows them to increase prices and reinforce their position by limiting the entry of potential competitors to the market during the twenty years that the patent lasts.  </w:t>
        <w:br/>
        <w:t xml:space="preserve">(320) In this regard, the Astrazeneca judgment of the CJEU determines that the mere existence of industrial property rights does not in itself entail the existence of a dominant position219. However, these rights can be a relevant element in assessing the existence of such a position220:  </w:t>
        <w:br/>
        <w:t xml:space="preserve">“[...] Indeed, although the mere possession of these intellectual property rights cannot be considered to confer such a position, it can, however, under certain circumstances, create a dominant position allowing the company to hinder the existence of effective competition in the market.[…]. To the extent that, as in the present case, the possession and exercise of these intellectual property rights may constitute a relevant indication of the dominant position, it should be recalled that such a position is not prohibited in itself, only its abusive use is.” (emphasis added)  </w:t>
        <w:br/>
        <w:t xml:space="preserve">Application to this case  </w:t>
        <w:br/>
        <w:t xml:space="preserve">(321) In the present file, the ownership of the Nuvaring patent granted MSD exclusive rights to a combined hormonal contraceptive, vaginal ring type, for 16 years, which is considered a relevant period of time. Specifically, as indicated in paragraphs (95) and following of this resolution, as the holder and exclusive licensee of the European patent validated in Spain that protects the Nuvaring ring, MSD has had, from 2002 until the expiration of the patent on April 9, 2018, the exclusive right to manufacture, import, promote, and market the Nuvaring contraceptive vaginal ring in Spain. Furthermore, MSD has been the holder of the patent license for the first combined hormonal contraceptive vaginal ring on the market.  </w:t>
        <w:br/>
        <w:t xml:space="preserve">218 European Commission Decision of February 10, 2021 in case AT.40394 – ASPEN.  </w:t>
        <w:br/>
        <w:t xml:space="preserve">219 Judgment of the CJEU of December 6, 2012, in the case Astrazeneca AB and Astrazeneca plc v. Commission, C-457/10, EU:C:2012:770.  </w:t>
        <w:br/>
        <w:t xml:space="preserve">220 Judgment of the CJEU of December 6, 2012, in the case Astrazeneca AB and Astrazeneca plc v. Commission, C-457/10, EU:C:2012:770, paragraph 186.  </w:t>
        <w:br/>
        <w:t xml:space="preserve">Comisión Nacional de los Mercados y la Competencia 84 de 158  </w:t>
        <w:br/>
        <w:t xml:space="preserve">C/ Alcalá, 47 – 28014 Madrid - C/ Bolivia, 56 – 08018 Barcelona  </w:t>
        <w:br/>
        <w:t>www.cnmc.es</w:t>
      </w:r>
    </w:p>
    <w:p>
      <w:r>
        <w:rPr>
          <w:b/>
        </w:rPr>
        <w:t>[Pages 85–87]</w:t>
      </w:r>
    </w:p>
    <w:p>
      <w:r>
        <w:t xml:space="preserve">S/0026/19  </w:t>
        <w:br/>
        <w:t xml:space="preserve">MERCK SHARP DOHME, S.A.  </w:t>
        <w:br/>
        <w:t xml:space="preserve">Spanish221. Its marketing was authorized in February 2002 by the AEMPS under the trade name Nuvaring.222 It was the only company that could market this type of contraceptive in the Spanish market, at least until the potential entry of generics starting in 2012, which in practice did not occur until the marketing authorization of Ornibel in June 2017.  </w:t>
        <w:br/>
        <w:t xml:space="preserve">(322) Following the jurisprudence of the EU, without prejudice to industrial property rights, merely by being the pioneering product in the ring market, Nuvaring already had significant market power that inherently altered the competitive circumstances in it.223 In this sense, the ownership of the patent constituted a limitation on the entry of competitors during the referred time period that granted “per se” a dominant position to MSD.  </w:t>
        <w:br/>
        <w:t xml:space="preserve">Faced with a scenario of non-existence of substitute products for Nuvaring, the patent generated a monopoly position for its licensee in Spain, MSD, which led to the limitation of the entry of potential competitors into the market for an extended period of time covering from 2002 to 2017.  </w:t>
        <w:br/>
        <w:t xml:space="preserve">Therefore, in the present file, considering that the relevant market is the Spanish market for combined hormonal contraceptives of the vaginal ring type and that until the marketing authorization of Ornibel in July 2017, Nuvaring has been the only contraceptive ring marketed in Spain, it must be concluded that MSD held a 100% market share from 2002 to 2017 as the holder of the license in Spain for the patent of said product.  </w:t>
        <w:br/>
        <w:t xml:space="preserve">(323) Even accepting, for purely dialectical purposes, a broader delineation of the reference market, in Group G3A9 related to “Other Systemic Hormonal Contraceptives,” which includes hormonal vaginal rings, along with other types of contraceptive methods such as injectables, implants, intrauterine devices or IUDs containing hormones, and transdermal patches, MSD had with Nuvaring a market share that ranged from 81.69% in February 2017 to 79.74% in November 2017, with shares of 82.01% in August 2017, at which time the judicial actions were initiated.224  </w:t>
        <w:br/>
        <w:t xml:space="preserve">221 The Spanish patent for Nuvaring is 2171283, a translation of the one registered with the European Patent Office. The European patent was subsequently validated and published by the Spanish Patent and Trademark Office in the name of MERCK SHARP &amp; DOHME BV with publication number ES 2.171.283 T3.  </w:t>
        <w:br/>
        <w:t xml:space="preserve">222 Information from the website: https://cima.aemps.es/cima/publico/lista.html  </w:t>
        <w:br/>
        <w:t xml:space="preserve">223 Judgment of the CJEU of December 6, 2012, in the case Astrazeneca AB and Astrazeneca plc against Commission, C-457/10, EU:C:2012:770.  </w:t>
        <w:br/>
        <w:t xml:space="preserve">224 Information provided by INSUD PHARMA in its response to the information request dated September 26, 2019 (folios 2.138 and 2.139).  </w:t>
        <w:br/>
        <w:t xml:space="preserve">Comisión Nacional de los Mercados y la Competencia 85 de 158  </w:t>
        <w:br/>
        <w:t xml:space="preserve">C/ Alcalá, 47 – 28014 Madrid - C/ Bolivia, 56 – 08018 Barcelona  </w:t>
        <w:br/>
        <w:t>www.cnmc.es</w:t>
      </w:r>
    </w:p>
    <w:p>
      <w:r>
        <w:t xml:space="preserve">S/0026/19  </w:t>
        <w:br/>
        <w:t xml:space="preserve">MERCK SHARP DOHME, S.A.  </w:t>
        <w:br/>
        <w:t xml:space="preserve">This share, once the precautionary measures were lifted and after the loss of exclusivity by MSD, was gradually reduced so that, in May 2018 it had decreased to 76.48% and, one year later, in May 2019, to 61.23%. In August 2019, Nuvaring had a market share of 59%.  </w:t>
        <w:br/>
        <w:t xml:space="preserve">(324) Regarding Ornibel, in November 2017 it had a share of 1.86%.225 This has progressively increased to reach, specifically in August 2019, a market share of 17.76%.  </w:t>
        <w:br/>
        <w:t xml:space="preserve">(325) The existence of high market shares, of 100% in the reference market has been accompanied by legal barriers to the entry of potential competitors. In this case, the legal barrier has been erected by the Nuvaring patent, which implied exclusivity in manufacturing, distribution, and marketing for MSD as the licensee in Spain of Nuvaring from 2002 until April 9, 2018, the expiration date of said patent.  </w:t>
        <w:br/>
        <w:t xml:space="preserve">(326) As for the existence of competitors in the affected market and the likelihood of entry of potential competitors, it was not until June 2017 that they began to be marketed, first Ornibel, as it was a product that did not violate the Nuvaring patent and then other generics. The exclusive rights of the Nuvaring patent, combined with the absence of competitors for almost 20 years, allowed MSD to consolidate its dominant position and leverage this advantage to design a strategy that delayed the entry of competition, as it specifically did with the judicial actions against Ornibel.  </w:t>
        <w:br/>
        <w:t xml:space="preserve">(327) Regarding the demand, as it is a drug subject to medical prescription, the advice of the prescribing physician, who may be influenced by the laboratory that markets it, the preference of the user, and the price of the drug play an important role in the user's choice226. However, until the entry of generics in June 2017, with no other alternative, users could only purchase Nuvaring.  </w:t>
        <w:br/>
        <w:t xml:space="preserve">(328) The halt of the marketing of the INSUD PHARMA ring in September 2017, through the judicial actions initiated by MSD, allowed it to extend its patent and exclusive marketing rights in the Spanish market, while halting production at the only factory that produced the rings located in Spain, which prevented the distribution of the product  </w:t>
        <w:br/>
        <w:t xml:space="preserve">225 Although the manufacturing, distribution, and marketing of Ornibel had been judicially halted, the precautionary measures did not affect the storage of pharmacies that had previously acquired the vaginal ring from INSUD PHARMA.  </w:t>
        <w:br/>
        <w:t xml:space="preserve">226 The fact that it is a prescription drug is specified in the corresponding sheets of the AEMPS. For example, the technical sheet for Nuvaring (folios 8002 to 8026) taken from https://cima.aemps.es/cima/pdfs/es/ft/64570/64570_ft.pdf  </w:t>
        <w:br/>
        <w:t xml:space="preserve">Comisión Nacional de los Mercados y la Competencia 86 de 158  </w:t>
        <w:br/>
        <w:t xml:space="preserve">C/ Alcalá, 47 – 28014 Madrid - C/ Bolivia, 56 – 08018 Barcelona  </w:t>
        <w:br/>
        <w:t>www.cnmc.es</w:t>
      </w:r>
    </w:p>
    <w:p>
      <w:r>
        <w:t xml:space="preserve">S/0026/19  </w:t>
        <w:br/>
        <w:t xml:space="preserve">MERCK SHARP DOHME, S.A.  </w:t>
        <w:br/>
        <w:t xml:space="preserve">to other countries, effectively causing the extension of its dominant position in them and thereby maintaining and increasing its demand levels compared to what would have occurred had Ornibel remained in the market.  </w:t>
        <w:br/>
        <w:t xml:space="preserve">(329) In conclusion, the set of factors previously described, related to the structure and functioning of the relevant market, leads to the consideration of MSD's dominant position in the Spanish market for combined hormonal contraceptives of the vaginal ring type as established, at least until the end of its patent in April 2018.  </w:t>
        <w:br/>
        <w:t xml:space="preserve">V.3.E. Abuse of Dominant Position  </w:t>
        <w:br/>
        <w:t xml:space="preserve">(330) Once it has been established that MSD has a dominant position, it is necessary to determine whether the conduct being judged here can be classified as abusive and, therefore, constitutes an infringement of the LDC. Article 2 of the LDC establishes that:  </w:t>
        <w:br/>
        <w:t xml:space="preserve">“1. The abusive exploitation by one or more companies of their dominant position in all or part of the national market is prohibited.  </w:t>
        <w:br/>
        <w:t xml:space="preserve">2. The abuse may consist, in particular, of:  </w:t>
        <w:br/>
        <w:t xml:space="preserve">a) The imposition, directly or indirectly, of prices or other commercial or service conditions that are not equitable.  </w:t>
        <w:br/>
        <w:t xml:space="preserve">b) The limitation of production, distribution, or technical development to the unjustified detriment of companies or consumers.  </w:t>
        <w:br/>
        <w:t xml:space="preserve">c) The unjustified refusal to satisfy purchase demands for products or the provision of services.  </w:t>
        <w:br/>
        <w:t xml:space="preserve">d) The application, in commercial or service relationships, of unequal conditions for equivalent performances, placing some competitors at a disadvantage compared to others.  </w:t>
        <w:br/>
        <w:t xml:space="preserve">e) The subordination of the conclusion of contracts to the acceptance of supplementary performances that, by their nature or according to trade practices, are not related to the object of such contracts.”  </w:t>
        <w:br/>
        <w:t xml:space="preserve">(331) For its part, Article 102 of the Treaty on the Functioning of the European Union establishes that:  </w:t>
        <w:br/>
        <w:t xml:space="preserve">“It shall be incompatible with the internal market and prohibited, insofar as it may affect trade between Member States, the abusive exploitation, by one or more companies, of a dominant position in the internal market or in a substantial part thereof.  </w:t>
        <w:br/>
        <w:t xml:space="preserve">Such abusive practices may consist, in particular, of:  </w:t>
        <w:br/>
        <w:t xml:space="preserve">a) directly or indirectly imposing purchase prices, selling prices, or other inequitable transaction conditions;  </w:t>
        <w:br/>
        <w:t xml:space="preserve">b) limiting production, the market, or technical development to the detriment of consumers;  </w:t>
        <w:br/>
        <w:t xml:space="preserve">c) applying to third contracting parties unequal conditions for equivalent performances, which cause them a competitive disadvantage;  </w:t>
        <w:br/>
        <w:t xml:space="preserve">d) subordinating the conclusion of contracts to the acceptance, by the other contracting parties, of supplementary performances that, by their nature or according to commercial practices, have no relation to the object of such contracts.”  </w:t>
        <w:br/>
        <w:t xml:space="preserve">Comisión Nacional de los Mercados y la Competencia 87 de 158  </w:t>
        <w:br/>
        <w:t xml:space="preserve">C/ Alcalá, 47 – 28014 Madrid - C/ Bolivia, 56 – 08018 Barcelona  </w:t>
        <w:br/>
        <w:t>www.cnmc.es</w:t>
      </w:r>
    </w:p>
    <w:p>
      <w:r>
        <w:rPr>
          <w:b/>
        </w:rPr>
        <w:t>[Pages 88–90]</w:t>
      </w:r>
    </w:p>
    <w:p>
      <w:r>
        <w:t xml:space="preserve">S/0026/19  </w:t>
        <w:br/>
        <w:t xml:space="preserve">MERCK SHARP DOHME, S.A.  </w:t>
        <w:br/>
        <w:t xml:space="preserve">(332) The previous relationship does not constitute a closed catalog of abusive practices, as neither the list of abusive practices in Article 2 LDC nor that of Article 102 TFEU exhausts the forms of abusive exploitation of a dominant position prohibited by the LDC and by EU law.227 An "atypical" practice, that is, one not expressly mentioned, can also constitute an abusive practice, since the analysis that must be made here is based on the effects on competition and not on the form of behavior. In general, Articles 2 and 102 of the TFEU prohibit any abusive practice capable of limiting competition, whose legal characterization does not depend so much on the name given to it, but on the substantive criteria applicable to each case.228  </w:t>
        <w:br/>
        <w:t xml:space="preserve">(333) According to EU jurisprudence, dating back to the 1970s, there are two key elements in the definition of abuse of a dominant position from the perspective of European competition law: on one hand, the "normal means of competition" defined in the Judgment of the Court of Justice of February 13, 1979, Hoffmann-La Roche /Commission.229 On the other hand, the element of "special responsibility" consisting of "not preventing, through its behavior, the development of effective and undistorted competition in the internal market."230 A competition system without distortions can only be guaranteed if equality of opportunity is ensured among the various economic operators, taking into account the scope of the  </w:t>
        <w:br/>
        <w:t xml:space="preserve">227 Case AT.39740 Google Search (Shopping) confirmed by the Judgment of the General Court of November 10, 2021, Google LLC, formerly Google Inc. and Alphabet, Inc. vs European Commission, Case T-612/17. EU:T:2021; in which, in turn, precedents are cited where this assertion has been reiterated (Case 6/72, Europemballage and Continental Can v Commission, Case 280/08 P Deutsche Telekom v Commission, Case C-52/09 Konkurrensverket v Telia Sonera Sverige AB).  </w:t>
        <w:br/>
        <w:t xml:space="preserve">228 Case AT.39740 Google Search (Shopping) confirmed by the Judgment of the General Court of November 10, 2021, Google LLC, formerly Google Inc. and Alphabet, Inc. vs European Commission, Case T-612/17. EU:T:2021:763 in which, in turn, the case T-286/09 Intel v Commission is cited.  </w:t>
        <w:br/>
        <w:t xml:space="preserve">229 "The concept of abusive exploitation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through means different from those governing normal competition of products or services according to the performance of economic agents, the maintenance of the level of competition that still exists in the market or the development of that competition" (Judgment of the CJEU of February 13, 1979, Hoffmann-La Roche &amp; Co. AG v Commission of the European Communities, Case 85/76, EU:C:1979:36, paragraph 91).  </w:t>
        <w:br/>
        <w:t xml:space="preserve">230 Case AT.39740 Google Search (Shopping) confirmed by the Judgment of the General Court of November 10, 2021, Google LLC, formerly Google Inc. and Alphabet, Inc. vs European Commission, Case T-612/17. EU:T:2021:763 in which, in turn, precedents are cited where this assertion has been reiterated (Case 322/81, NV Nederlandsche Banden Industrie Michelin v Commission; Case C-209/10 Post Danmark, Case C-457/10 P Astrazeneca v Commission, Case T-286/09, Intel v Commission).  </w:t>
        <w:br/>
        <w:t xml:space="preserve">Comisión Nacional de los Mercados y la Competencia 88 de 158  </w:t>
        <w:br/>
        <w:t xml:space="preserve">C/ Alcalá, 47 – 28014 Madrid - C/ Bolivia, 56 – 08018 Barcelona  </w:t>
        <w:br/>
        <w:t>www.cnmc.es</w:t>
      </w:r>
    </w:p>
    <w:p>
      <w:r>
        <w:t xml:space="preserve">S/0026/19  </w:t>
        <w:br/>
        <w:t xml:space="preserve">MERCK SHARP DOHME, S.A.  </w:t>
        <w:br/>
        <w:t xml:space="preserve">special responsibility of the dominant company in light of the specific circumstances of the case.231  </w:t>
        <w:br/>
        <w:t xml:space="preserve">(334) Companies that occupy a dominant position, regardless of the causes of such position, bear a special responsibility: that of not harming, through their conduct, effective and undistorted competition in the internal market (see, in particular, the judgments of November 9, 1983, NV Nederlandsche Banden Industrie Michelin/Commission, 322/81, EU:C:1983:313, paragraph 57, and September 6, 2017, Intel/Commission, C-413/14 P, EU:C:2017:632, paragraph 135).  </w:t>
        <w:br/>
        <w:t xml:space="preserve">(335) The prohibition of abuse of a dominant position does not prevent, as a consequence of competition based on merits, the disappearance or marginalization in the relevant market of less efficient competitors and, therefore, less interesting for consumers, particularly from the perspective of prices, product range, quality, or innovation (judgment of September 6, 2017, Intel/Commission, C-413/14 P, EU:C:2017:632, paragraph 134 and cited jurisprudence).  </w:t>
        <w:br/>
        <w:t xml:space="preserve">(336) Consequently, while companies in a dominant position may defend themselves against their competitors, they must do so using means characteristic of "normal" competition, that is, based on merits.  </w:t>
        <w:br/>
        <w:t xml:space="preserve">(337) In contrast, these companies cannot hinder the entry or maintenance in the relevant market of equally efficient competitors by resorting to means other than those characteristic of competition based on merits. In particular, they must refrain from using their dominant position to expand their presence in another market by means other than those characteristic of competition based on merits (see, in this regard, the judgments of October 3, 1985, CBEM, 311/84, EU:C:1985:394, paragraph 25; November 14, 1996, Tetra Pak/Commission, C-333/94 P, EU:C:1996:436, paragraph 25, and February 17, 2011, TeliaSonera Sverige, C-52/09, EU:C:2011:83).  </w:t>
        <w:br/>
        <w:t xml:space="preserve">(338) The notion of "competition based on merits" must be interpreted in close correlation with the principle, also established in the jurisprudence of the Union, according to which the company in a dominant position is endowed with a "special responsibility," that of not harming, through its conduct, effective and undistorted competition in the internal market (see, in particular, the judgments of November 9, 1983, Nederlandsche Banden-Industrie-Michelin/Commission, 322/81, EU:C:1983:313, paragraph 57, and September 6, 2017, Intel/Commission, C 413/14 P, EU:C:2017:632, paragraph 135).  </w:t>
        <w:br/>
        <w:t xml:space="preserve">(339) However, this special responsibility cannot deprive a company that finds itself in a dominant position of the right to take into account its own commercial interests232. In this sense, the reference to "means other than those characteristic of competition based on merits" (which can also be referred to as "normal competition") serves to specify the content of the "special responsibility" that falls on the dominant company and determine the authorized margin of action.  </w:t>
        <w:br/>
        <w:t xml:space="preserve">(340) In the case analyzed, it must be taken into account that the special responsibility required arises from a dominant position attributed by a patent right. And this right is guaranteed by a series of procedural remedies unprecedented in other branches of law. Such remedies, configured by the legislator as a way to ensure effective protection of patent rights, must be employed responsibly. The potential anti-competitive harm of the procedural remedies characteristic of patent law and, in particular, of precautionary measures has already been highlighted by the European Commission in the report referenced in paragraphs (265) and following, in which it states: "litigation can also be an effective means of creating obstacles for generic companies, especially the smaller ones. In certain cases, originator companies may view such litigation not for itself, but rather as a deterrent signal sent to manufacturers of generic products."233  </w:t>
        <w:br/>
        <w:t xml:space="preserve">(341) The ability of patent-holding companies to create obstacles for their competitors (in particular, for generic manufacturers) is directly related to the effectiveness of these procedural remedies that the legislator has configured to defend patent rights. The more effective they are, the greater the ability to create obstacles for competitors if they are not used with the special responsibility that is required of any dominant operator.  </w:t>
        <w:br/>
        <w:t xml:space="preserve">Abusive litigation as abuse of a dominant position  </w:t>
        <w:br/>
        <w:t xml:space="preserve">(342) The interrelationship between intellectual property rights and competition law was expressly analyzed in the Judgment of the Court of Justice  </w:t>
        <w:br/>
        <w:t xml:space="preserve">232 Judgment United Brands, paragraph 189.  </w:t>
        <w:br/>
        <w:t xml:space="preserve">233 See COMMISSION COMMUNICATION "Analytical Summary of the Sector Inquiry Report on the Pharmaceutical Sector" page 13.  </w:t>
        <w:br/>
        <w:t xml:space="preserve">Comisión Nacional de los Mercados y la Competencia 90 de 158  </w:t>
        <w:br/>
        <w:t xml:space="preserve">C/ Alcalá, 47 – 28014 Madrid - C/ Bolivia, 56 – 08018 Barcelona  </w:t>
        <w:br/>
        <w:t>www.cnmc.es</w:t>
      </w:r>
    </w:p>
    <w:p>
      <w:r>
        <w:rPr>
          <w:b/>
        </w:rPr>
        <w:t>[Pages 91–93]</w:t>
      </w:r>
    </w:p>
    <w:p>
      <w:r>
        <w:t xml:space="preserve">S/0026/19  </w:t>
        <w:br/>
        <w:t xml:space="preserve">MERCK SHARP DOHME, S.A.  </w:t>
        <w:br/>
        <w:t xml:space="preserve">of April 6, 1995, Magill TV Guide in which the existence of an abuse of a dominant position was analyzed by virtue of the holding of copyright in the field of intellectual property234. In this matter, the Court of Justice emphasized that: “the reconciliation between the requirements of the free movement of goods and the respect due to industrial property rights must be carried out in such a way as to protect the legitimate exercise of those rights […] excluding any abusive exercise that may artificially compartmentalize the market or disturb the competition regime within the European Community.”235  </w:t>
        <w:br/>
        <w:t xml:space="preserve">Thus, community jurisprudence only allows restrictions on competition law that are inherent to the protection of the “very substance of intellectual property rights” in accordance with the judgment of June 8, 1971 Deutsche Grammophon.236 In this way, the CJEU has indicated that the right granted by intellectual property instruments, although not abusive in itself, in certain cases where the conditions and modalities of the exercise of that right do not respond to the essential function of protecting innovation, may materialize in a manner manifestly contrary to the objectives of Article 82 (currently Article 102 TFEU) and, therefore, to free competition.  </w:t>
        <w:br/>
        <w:t xml:space="preserve">(343) The special responsibility that the dominant operator has in this case is specified in the prudent use of the procedural remedies specific to patent law. Such prudence, as a manifestation of the principle of special responsibility of the dominant operator, means that actions and procedural resources must serve the purpose that each of them has been assigned by the legislator.  </w:t>
        <w:br/>
        <w:t xml:space="preserve">(344) When there is a responsible use of the procedural remedies specific to patent law, the blockage to competition presents itself as an inevitable consequence of a legitimate action: defending the patent right. On the contrary, the special responsibility of the dominant operator opposes a misdirected use of such procedural resources that, instead of serving as a means to defend rights and interests that the company considers legitimately its own, aim to suppress competition.  </w:t>
        <w:br/>
        <w:t xml:space="preserve">234 Judgment of the CJEU of April 6, 1995, Magill TV Guide vs Commission (cases 241/91 and 242/91 P), EU:C:1995:98.  </w:t>
        <w:br/>
        <w:t xml:space="preserve">235 Judgment of the CJEU of April 6, 1995, Magill TV Guide vs Commission (cases 241/91 and 242/91 P), EU:C:1995:98, paragraph 25.  </w:t>
        <w:br/>
        <w:t xml:space="preserve">236 Judgment of the CJEU of June 8, 1971, Deutsche Grammophon Gesellschaft mbH vs Metro-SB-Großmärkte GmbH &amp; Co. KG, Request for a preliminary ruling, Case 78-70, EU:C:1971:59  </w:t>
        <w:br/>
        <w:t xml:space="preserve">Comisión Nacional de los Mercados y la Competencia 91 de 158  </w:t>
        <w:br/>
        <w:t xml:space="preserve">C/ Alcalá, 47 – 28014 Madrid - C/ Bolivia, 56 – 08018 Barcelona  </w:t>
        <w:br/>
        <w:t>www.cnmc.es</w:t>
      </w:r>
    </w:p>
    <w:p>
      <w:r>
        <w:t xml:space="preserve">S/0026/19  </w:t>
        <w:br/>
        <w:t xml:space="preserve">MERCK SHARP DOHME, S.A.  </w:t>
        <w:br/>
        <w:t xml:space="preserve">(345) The possibility that judicial actions constitute an anticompetitive offense was analyzed in two Decisions of the European Commission dated July 29, 1987237 and December 21, 1988238, it was in its Decision of May 21, 1996, ITT Promedia NV in which the European Commission established239, the necessary criteria to consider that the exercise of the right to litigate may constitute an anticompetitive offense, a decision that was subsequently confirmed in judicial proceedings.240  </w:t>
        <w:br/>
        <w:t xml:space="preserve">(346) In that case, the European Commission recognized that the exercise of judicial actions could constitute an abuse of a dominant position when two cumulative circumstances occurred (emphasis added):241  </w:t>
        <w:br/>
        <w:t xml:space="preserve">“a company that has a dominant position exercises judicial actions (i) of which it cannot reasonably be considered that they are intended to assert its rights and that, therefore, can only serve to harass the opposing party and (ii) that are conceived within the framework of a plan whose purpose is to suppress competition.”  </w:t>
        <w:br/>
        <w:t xml:space="preserve">(347) These criteria were confirmed by the then Court of First Instance of the European Union where it was stated (paragraph 56):242  </w:t>
        <w:br/>
        <w:t xml:space="preserve">“The first of the two criteria means, according to the Commission, that the judicial action must manifestly lack any foundation from an objective point of view. The second indicates, for its part, that the judicial action must aim at the elimination of competition. Both criteria must be met to demonstrate the existence of an abuse. The mere exercise of an improper judicial action cannot in itself constitute an infringement of Article 86 of the Treaty, unless that action pursues a purpose contrary to competition. Similarly, if it can be reasonably considered that a judicial action represents an attempt to assert rights against competitors, it cannot constitute an abuse, regardless of whether it may be part of a plan aimed at eliminating competition.”  </w:t>
        <w:br/>
        <w:t xml:space="preserve">(348) This doctrine and community jurisprudence have been assimilated by the national practice of the CNMC as stated in the Resolutions of May 13, 2011, and May 26, 2016 (emphasis added):243  </w:t>
        <w:br/>
        <w:t xml:space="preserve">“Therefore, only in exceptional circumstances can the exercise of a judicial action constitute an infringement of competition law. As some parties cite, in the case ITT Promedia NV vs Commission (98/C 299/49 Judgment of the Court of First Instance of July 17, 1998 in case T-111/96, ITT Promedia NV vs Commission of the European Communities) criteria were established to determine the cases in which a judicial action may be anticompetitive.”  </w:t>
        <w:br/>
        <w:t xml:space="preserve">(349) The exercise of judicial actions for anticompetitive purposes has been recognized by the judgments of the Audiencia Nacional of July 22, 2010, April 6, 2018, and June 26, 2018 (emphasis added):244  </w:t>
        <w:br/>
        <w:t xml:space="preserve">“Competition rules can be applied to an agreement or unilateral conduct consisting of the filing of judicial actions aimed at restricting competition. Jurisprudence indicates that this is possible if two cumulative criteria are met: first, that it cannot reasonably be considered that the judicial action aims to assert the rights of the company in question and that it is conceived within the framework of a plan aimed at suppressing competition […]”  </w:t>
        <w:br/>
        <w:t xml:space="preserve">(350) Since the right to litigate is part of the fundamental right of access to justice, the concurrence of these requirements must be assessed cautiously and restrictively. This exceptional nature has been declared in the case ITT Promedia, where the then Court of First Instance of the European Union stated (paragraph 60):  </w:t>
        <w:br/>
        <w:t xml:space="preserve">“Before undertaking the examination of the grounds, it is necessary to draw attention to three elements. First, it must be emphasized, as the Commission has rightly pointed out, that the possibility of asserting one's own rights in court and the judicial control that this implies is the expression of a general principle of law that is fundamental in the constitutional traditions common to the Member States and that was also enshrined by Article 6 of the European Convention for the Protection of Human Rights and Fundamental Freedoms, of November 4, 1950 (see the judgment of the Court of Justice of May 15, 1986, Johnston, 222/84, Rec. p. 1651, paragraphs 17 and 18).  </w:t>
        <w:br/>
        <w:t xml:space="preserve">243 Resolutions of the CNMC of May 13, 2011 (File S/0159,09, UNESA AND ASSOCIATES) and May 26, 2016 (File S/DC/0504/14 AIO).  </w:t>
        <w:br/>
        <w:t xml:space="preserve">244 Judgments of the Contentious-Administrative Chamber of the Audiencia Nacional of July 22, 2010 SAN 3671/2010, Case Number: 6/2009 File S-0159-09 UNESA AND ASSOCIATES and of April 6, 2018 and June 26, 2018 Case Numbers 363/2016 and 364/2016 filed against the Resolution of the CNMC of May 26, 2016 (File S/DC/0504/14 AIO).  </w:t>
        <w:br/>
        <w:t xml:space="preserve">Comisión Nacional de los Mercados y la Competencia 93 de 158  </w:t>
        <w:br/>
        <w:t xml:space="preserve">C/ Alcalá, 47 – 28014 Madrid - C/ Bolivia, 56 – 08018 Barcelona  </w:t>
        <w:br/>
        <w:t>www.cnmc.es</w:t>
      </w:r>
    </w:p>
    <w:p>
      <w:r>
        <w:rPr>
          <w:b/>
        </w:rPr>
        <w:t>[Pages 94–96]</w:t>
      </w:r>
    </w:p>
    <w:p>
      <w:r>
        <w:t xml:space="preserve">S/0026/19  </w:t>
        <w:br/>
        <w:t xml:space="preserve">MERCK SHARP DOHME, S.A.  </w:t>
        <w:br/>
        <w:t xml:space="preserve">Given that judicial protection is a fundamental right and a general principle that guarantees respect for the Law, only in exceptional circumstances may the exercise of a judicial action constitute an abuse of a dominant position in the sense of Article 86 of the Treaty.”  </w:t>
        <w:br/>
        <w:t xml:space="preserve">(351) This exceptional application responds to the objective of protecting the fundamental right of access to justice, preventing competition authorities from expansive interpretations of the abuse of dominant position that undermine the fundamental right of access to justice.  </w:t>
        <w:br/>
        <w:t xml:space="preserve">(352) In this regard, MSD states, in its allegations, that it appeals to the certainly exceptional nature of abusive litigation. This Chamber shares MSD's allegations regarding the exceptional character that abusive litigation must have. Verifying whether this mandate to carry out a restrictive interpretation has been respected is something that can only be done on a case-by-case basis, and this analysis is dedicated to the following sections of this resolution.  </w:t>
        <w:br/>
        <w:t xml:space="preserve">First requirement: that it cannot be reasonably considered that the judicial action aims to assert the rights of the company in question  </w:t>
        <w:br/>
        <w:t xml:space="preserve">V.3.E.b.i. General principles  </w:t>
        <w:br/>
        <w:t xml:space="preserve">(353) The first of the requirements is that it cannot be reasonably considered that the judicial action aims to assert the rights of the company in question and that, therefore, it can only serve to harass the opposing party. This requirement is referred to by the PR as “just cause for litigation.” The ITT Promedia case reminds us that the fact of exercising an improper judicial action cannot in itself constitute an infringement”245. The ITT Promedia Judgment states246:  </w:t>
        <w:br/>
        <w:t xml:space="preserve">“according to the first of the two cumulative criteria mentioned by the Commission in the contested decision, a judicial action can only be classified as abusive in the sense of Article 86 of the Treaty247 when it cannot reasonably be considered that it aims to assert the rights of the company in question and, therefore, can only serve to harass the opposing party. Thus, to determine whether this criterion is met, the existing situation at the time the action is exercised must be taken into account. Furthermore, in applying this criterion, it is not a matter of determining whether the rights that the company was asserting at the time it exercised its judicial action actually existed, or whether it was appropriate, but rather whether such action aimed to assert rights that the company could reasonably consider its own at that time. From the last part of the wording of this criterion, it is deduced that it is only met when the judicial action did not have that purpose, being this the only case in which one can conclude that the judicial action only served to harass the opposing party” (emphasis added).  </w:t>
        <w:br/>
        <w:t xml:space="preserve">(354) The first requirement of the ITT Promedia test is, therefore, that it cannot be reasonably considered that the action taken aims to assert rights that the company, at that time, could reasonably consider its own and that, therefore, it can only serve to harass the opposing party.  </w:t>
        <w:br/>
        <w:t xml:space="preserve">The patent system grants patent holders broad powers; the patent holder has at its disposal procedural remedies that are unprecedented in other branches of law: highly specialized courts, fact-finding measures, precautionary measures inaudita parte. All these legal mechanisms are designed to effectively protect the legitimate interests of the patent holder.  </w:t>
        <w:br/>
        <w:t xml:space="preserve">(355) The special responsibility that the dominant operator has, which has been referred to in sections (333) to (341) of this resolution, is specified in the prudent use of the procedural remedies specific to patent law. Such prudence, as a manifestation of the principle of responsibility, opposes a misdirected use of such procedural resources.  </w:t>
        <w:br/>
        <w:t xml:space="preserve">This prudent use means that actions and procedural remedies must serve (in line with the cited case law) the purpose that the legislator has attributed to each of them. When a responsible use of the procedural remedies specific to patent law takes place, the blockage to competition presents itself as an inevitable consequence of a legitimate action: defending the patent right.  </w:t>
        <w:br/>
        <w:t xml:space="preserve">(356) In the case of fact-finding measures, a responsible use of this resource means that the patent holder has done everything possible to rule out the existence of infringement by its own means.  </w:t>
        <w:br/>
        <w:t xml:space="preserve">(357) In the case of precautionary measures, the application of the first element of this test means that these aim to guarantee the effectiveness of the future judgment on the merits, preventing the passage of time inherent to the duration of a judicial process from thwarting its good end. The responsible use of precautionary measures opposes that these “are sought for their own sake,” being this the explicit will of the legislator manifested in paragraph (72).  </w:t>
        <w:br/>
        <w:t xml:space="preserve">V.3.E.b.ii. Assessment of Fact-Finding Measures  </w:t>
        <w:br/>
        <w:t xml:space="preserve">(358) Now entering the analysis of MSD's actions, to determine whether MSD's conduct responded to the purpose of asserting rights that it legitimately considered its own or whether, on the contrary, it aimed to harass its competitor, it is necessary to refer initially to the request for fact-finding measures (DCH). The DCH procedure played an essential role in this procedure, as it was the prior step for the judge to authorize the precautionary measures that would later succeed in halting the manufacture and marketing of Ornibel.  </w:t>
        <w:br/>
        <w:t xml:space="preserve">(359) As already mentioned in paragraphs (56) to (68), according to the provisions of the Patent Law, the purpose of the DCH is to obtain evidence that allows determining whether a patent is being infringed or not. And for this, it is necessary (i) that the company requesting them has no other way to verify the reality of the infringement without resorting to the DCH and (ii) that the infringement of the patent is presumable.  </w:t>
        <w:br/>
        <w:t xml:space="preserve">(360) The first of these requirements is that there is no other way to verify the infringement other than resorting to the DCH. As already indicated in the background (135), to substantiate the concurrence of this requirement, MSD states: “the defendants have refused to provide the information and documentation requested by my clients.”  </w:t>
        <w:br/>
        <w:t xml:space="preserve">(361) This statement turned out to be untrue, as at no time did INSUD refuse to provide the information and samples requested by MSD in its writing of June 13, 2017. Not only did it not refuse, but, as has been evidenced in the factual background - paragraphs (124) to (129) - it reiterated its offer to provide the samples and technical information on five occasions: September 8, August 18, August 23, and September 19, 2017.  </w:t>
        <w:br/>
        <w:t xml:space="preserve">(362) In this case, there is no doubt that the request for fact-finding measures lacked just cause to the extent that it did not respond to the objective need to obtain evidence of the infringement.  </w:t>
        <w:br/>
        <w:t xml:space="preserve">(363) As it was posed, the request for DCH was manifestly unsuitable to fulfill the purpose that the legislator attributes to it. This lack of suitability is evidenced not only by the content of the request but also by what could have been requested and was not. MSD, in its request for DCH, as already stated in paragraph (138), requested access to the following documents:  </w:t>
        <w:br/>
        <w:t xml:space="preserve">“a) Description of the parts into which the vaginal ring is divided (core, skin) and of the possible existence of compartments within the ring and, if applicable, description of the compartments;  </w:t>
        <w:br/>
        <w:t xml:space="preserve">b) Polymeric composition of the core (…)  </w:t>
        <w:br/>
        <w:t>c) Polymeric composition of the skin of the vaginal ring (…)</w:t>
      </w:r>
    </w:p>
    <w:p>
      <w:r>
        <w:rPr>
          <w:b/>
        </w:rPr>
        <w:t>[Pages 97–99]</w:t>
      </w:r>
    </w:p>
    <w:p>
      <w:r>
        <w:t xml:space="preserve">S/0026/19  </w:t>
        <w:br/>
        <w:t xml:space="preserve">MERCK SHARP DOHME, S.A.  </w:t>
        <w:br/>
        <w:t xml:space="preserve">d) Identification of the progestogenic compound, the estrogenic compound, as well as any eventual progestogenic compound, in the event that the ring had different compartments. This information was to be provided for each compartment of the vaginal ring.  </w:t>
        <w:br/>
        <w:t xml:space="preserve">e) Detailed description of the complete production process of the vaginal ring.”  </w:t>
        <w:br/>
        <w:t xml:space="preserve">(364) This is a request for evidence of an exclusively documentary nature, aimed at obtaining detailed information about the manufacturing process, as well as details about the specific polymer used. However, determining the manufacturing process or discovering the exact composition of the polymer is not essential to ascertain whether there is patent infringement or not.  </w:t>
        <w:br/>
        <w:t xml:space="preserve">(365) As already indicated in section IV.3 of the established facts, the central element to determine whether there is infringement or not was the saturation of the active ingredient in the polymer: oversaturated in the case of the Nuvaring patent and undersaturated in the case of the Ornibel (as indicated by its patent). And none of the documents that MSD requested from the judge are aimed at directly determining the degree of saturation.  </w:t>
        <w:br/>
        <w:t xml:space="preserve">(366) MSD knew that the Ornibel ring did not require cold storage, as this information was published both in the technical data sheet and in the patent document, and this evidences that the polymer was undersaturated; therefore, this data already pointed to the non-infringement of the patent.  </w:t>
        <w:br/>
        <w:t xml:space="preserve">(367) The request from DCH omits to request samples or explicitly request to conduct experimental tests to verify the element that, according to the expert report presented by MSD, was necessary to unravel; the undersaturation or oversaturation of the hormonal compound in the ring, an element whose impossibility of determination from the information available and obtained in the DCH was subsequently put forward as a central element to request precautionary measures.  </w:t>
        <w:br/>
        <w:t xml:space="preserve">(368) As already indicated in paragraphs (100), regarding the Nuvaring patent, and in (110), in relation to the Ornibel patent, both the Nuvaring patent declaration and that of Ornibel establish methodologies to verify the saturation level of the compounds from samples of the rings. Therefore, a diligent and responsible attitude on the part of MSD would have led it to conduct experimental tests itself or, at the very least, to request judicial assistance for their execution, in the event that such judicial assistance was indispensable. And always with the aim that such tests or diligences would serve to detect whether there was, in the Ornibel, an infringement on the only disputed and relevant point for the infringement: the oversaturation.  </w:t>
        <w:br/>
        <w:t xml:space="preserve">S/0026/19  </w:t>
        <w:br/>
        <w:t xml:space="preserve">MERCK SHARP DOHME, S.A.  </w:t>
        <w:br/>
        <w:t xml:space="preserve">(369) The omission of the request for such evidence is inconsistent with the objective of clarifying the infringement or non-infringement of the patent, as this, as subsequently reflected in the order lifting the precautionary measures, is the most appropriate method to clarify whether there was or was not infringement in the dispute.  </w:t>
        <w:br/>
        <w:t xml:space="preserve">(370) The confirmation of this assessment is found in the Judgment of Section No. 15 of the Provincial Court of Barcelona dated November 13, 2018, in which the absence of strong indications of a prima facie case justifying the precautionary measures requested by MSD was confirmed, in the following terms:248  </w:t>
        <w:br/>
        <w:t xml:space="preserve">“While the expert report of the defendant is supported, apart from the expert's own reputation (a true expert in the field), it is also confirmed (at least apparently, which for these purposes is sufficient) by two objective data that grant it solidity:  </w:t>
        <w:br/>
        <w:t xml:space="preserve">(i) On one hand, an analysis of the product carried out by a prestigious entity.  </w:t>
        <w:br/>
        <w:t xml:space="preserve">(ii) On the other, the fact that the allegedly infringing product does not require cold storage (a fact that derives from its technical data sheet), which, according to the teachings of the patent itself, allows us to rule out that the defendant's product meets the disputed characteristic.”  </w:t>
        <w:br/>
        <w:t xml:space="preserve">Therefore, it is evident that the DCH requested were manifestly unfounded in that MSD did have other ways to verify the reality of the infringement than resorting to the DCH.  </w:t>
        <w:br/>
        <w:t xml:space="preserve">(371) The fact that the action taken was not aimed at enforcing MSD's rights is corroborated by the fact that, in its request, MSD deceived the Judge and distorted the response it had received from INSUD PHARMA, concealing essential data.  </w:t>
        <w:br/>
        <w:t xml:space="preserve">(372) This mode of proceeding is only justified because it aims to artificially generate doubt about the possible infringement of its patent, with the objective of serving as a basis for the subsequent request for precautionary measures and not to clarify the elements in dispute.  </w:t>
        <w:br/>
        <w:t xml:space="preserve">(373) MSD alleges that the conditions imposed by INSUD to provide the requested information were absolutely unacceptable, as they involved waiving the possibility of MSD being able to enforce its rights.  </w:t>
        <w:br/>
        <w:t xml:space="preserve">248 Judgment of Section No. 15 of the Provincial Court of Barcelona dated November 13, 2018 (Appeal No. 276/2018) submitted by INSUD PHARMA in the complaint (folios 174 to 179).  </w:t>
        <w:br/>
        <w:t xml:space="preserve">S/0026/19  </w:t>
        <w:br/>
        <w:t xml:space="preserve">MERCK SHARP DOHME, S.A.  </w:t>
        <w:br/>
        <w:t xml:space="preserve">(374) Regarding this allegation, it should be noted that it does not invalidate the fact that MSD concealed information from the judge when it requested the fact-finding diligences.  </w:t>
        <w:br/>
        <w:t xml:space="preserve">(375) In any case, and regarding the substance, the allegation does not align with the reading of the confidentiality agreement proposed by INSUD PHARMA, which did not require MSD to waive the right to file a lawsuit in the future. As already indicated in paragraph (127) of the background, according to INSUD PHARMA's proposal, MSD would commit to treating the disclosed information as confidential and not to using it in a judicial process249. If MSD considered the conditions of the confidentiality agreement "unacceptable," it could have responded to INSUD, instead of ignoring its repeated proposals.  </w:t>
        <w:br/>
        <w:t xml:space="preserve">(376) That a deception of this nature constitutes a lack of merit-based competition has been declared by community jurisprudence. This is recalled by the CJEU in the Judgment of December 6, 2012, AstraZeneca AB and AstraZeneca against Commission, Case C-457/10, ECLI:EU:C:2012:770, when it states (paragraph 93):  </w:t>
        <w:br/>
        <w:t xml:space="preserve">“However, it is necessary to affirm that, as the General Court stated in paragraphs 493, 495, 507, 598, 599, 608, and 609 of the contested judgment, AZ's constant and linear behavior, as summarized above, characterized by the communication to patent offices of markedly misleading statements and by a manifest lack of transparency, in particular regarding the existence of the French technical authorization, and by which AZ deliberately attempted to mislead the patent offices and judicial authorities in order to protect its monopoly over the IBP market for as long as possible, was alien to merit-based competition.”  </w:t>
        <w:br/>
        <w:t xml:space="preserve">(377) This false statement influenced the judicial body, which agreed to carry out the DCH prompted by MSD's deception, as already indicated in paragraph (142), which grounds the DCH in that MSD had "made requests for information to the subjects of these measures, without success." It also agreed to the verification of facts requested by MSD, which proved insufficient to clarify the controversy regarding the patent infringement.  </w:t>
        <w:br/>
        <w:t xml:space="preserve">(378) The truth is that MSD had already prepared the request for precautionary measures before knowing the outcome of the DCH. And this fact is evident from the conversations gathered during the inspection, as already indicated in paragraph (160).  </w:t>
        <w:br/>
        <w:t xml:space="preserve">249 Folios 1.872-1.873 of the file. The confidentiality agreement is referred to by its English acronym, CDA (Confidential Disclosure Agreement).  </w:t>
        <w:br/>
        <w:t xml:space="preserve">Comisión Nacional de los Mercados y la Competencia 99 de 158  </w:t>
        <w:br/>
        <w:t xml:space="preserve">C/ Alcalá, 47 – 28014 Madrid - C/ Bolivia, 56 – 08018 Barcelona  </w:t>
        <w:br/>
        <w:t>www.cnmc.es</w:t>
      </w:r>
    </w:p>
    <w:p>
      <w:r>
        <w:rPr>
          <w:b/>
        </w:rPr>
        <w:t>[Pages 100–102]</w:t>
      </w:r>
    </w:p>
    <w:p>
      <w:r>
        <w:t xml:space="preserve">S/0026/19  </w:t>
        <w:br/>
        <w:t xml:space="preserve">MERCK SHARP DOHME, S.A.  </w:t>
        <w:br/>
        <w:t xml:space="preserve">(379) The examination of proven facts shows that the request for DCH, far from serving as an element for the investigation of evidence, had another mission: to act as a trigger for a request for precautionary measures. This instrumental nature of the fact-finding proceedings to obtain precautionary measures is evidenced by [CONFIDENTIAL]:250  </w:t>
        <w:br/>
        <w:t xml:space="preserve">“[CONFIDENTIAL]”  </w:t>
        <w:br/>
        <w:t xml:space="preserve">(380) The unnecessary and instrumental nature of these DCH is evident from the fact that MSD requested the precautionary measures without hearing from the other party and without waiting for the results of the fact-finding proceedings. If the DCH had been intended to ascertain whether or not there was a patent infringement, MSD would have waited for the conclusions and their results. Therefore, it is evident that the DCH did not serve the legitimate purpose provided for in the LP of obtaining evidence to support a future infringement action.  </w:t>
        <w:br/>
        <w:t xml:space="preserve">(381) MSD claims that the legal action taken was aimed at defending rights that it considered legitimately its own. However, such a claim does not align with all the information it had about the INSUD PHARMA product (it did not require cold storage, data on the saturation level), as well as its technical knowledge in the field. Furthermore, it even acquired samples of the product, which could have been analyzed through an experimental test: the “flat film test” consists of taking a ring device, making a small section as thin as possible; from there, the core of the polymer of the ring could be cut and a sample of the inner core taken, to subsequently conduct the solubility experiment by placing said film in the saturated solution of Etonogestrel (ETO).  </w:t>
        <w:br/>
        <w:t xml:space="preserve">(382) When MSD initiated the proceedings against INSUD, by requesting fact-finding proceedings, it had precise technical data about the INSUD ring, publicly available in the INSUD patent that has already been detailed in paragraphs (110), (119), and (120).  </w:t>
        <w:br/>
        <w:t xml:space="preserve">(383) The manifestly unfounded nature of the DCH request due to its lack of suitability to achieve the intended purpose is further emphasized by the expert report, whose bias and lack of objectivity were already highlighted in the order lifting the precautionary measures. This lack of objectivity is manifested – as has already been pointed out in paragraph ¡Error! No se encuentra el origen de la referencia.(156) – especially by the fact that the expert did not address INSUD PHARMA at any time, disregarding the judicial mandate that expressly required her to give them a hearing. Therefore, the report was tainted by a determining irregularity of its lack of objectivity.  </w:t>
        <w:br/>
        <w:t xml:space="preserve">250 [CONFIDENTIAL] (folios 4184 a 4193).  </w:t>
        <w:br/>
        <w:t xml:space="preserve">S/0026/19  </w:t>
        <w:br/>
        <w:t xml:space="preserve">MERCK SHARP DOHME, S.A.  </w:t>
        <w:br/>
        <w:t xml:space="preserve">(384) This bias of the expert would later be evidenced by the court that lifted the precautionary measures, in considerations251 already cited in paragraph (177) that it is appropriate to reproduce now:  </w:t>
        <w:br/>
        <w:t xml:space="preserve">“From a procedural perspective, the conduct of the … as a judicial expert is also reprehensible. […] 3.14 In summary, with all that has been presented, we appreciate sufficient elements to conclude that the expert … more than a judicial expert has acted as a party expert; her report being at least limited or incomplete, if not biased; taking into account only what favors the plaintiffs and not diligently and curiously investigating what could benefit the defendants; overlooking what could harm the former and leaning, without conclusive evidence, towards what harms the latter. In this sense, we must recall the obligation set forth in art. 335.2 of the LEC for every expert and which, if applicable, is especially exigible for the one in whom the court places its trust as a judicial expert: […]”  </w:t>
        <w:br/>
        <w:t xml:space="preserve">(385) On this issue, MSD claims that the conduct of the judicial expert was something foreign to MSD, and unknown to it. This claim cannot prosper. Aside from the fact that the expert's actions are subject to the responsibility that may arise in accordance with the applicable procedural regulations, the truth is that MSD cannot decline all responsibility for the actions of the expert.  </w:t>
        <w:br/>
        <w:t xml:space="preserve">(386) The elements of evidence in the file indicate that MSD may have exercised some influence over the appointment of the expert, as MSD hired the services of ABG patents to provide arguments on how to define the profile of the expert and to propose to the court how to find one252.  </w:t>
        <w:br/>
        <w:t xml:space="preserve">(387) As stated in the factual background, (145) from the reading of the invoice253 issued by the expert to MSD for the amount of €28,068.00, it follows that there is a service relationship between them, a linkage reveals a service relationship between MSD and the expert, which exceeds MSD's obligation to initially cover the costs of the expert report.  </w:t>
        <w:br/>
        <w:t xml:space="preserve">(388) Although the expert report was prepared without taking into account the version of INSUD PHARMA, as ordered by the judge, MSD submitted it within the precautionary measures proceedings that led to the suspension of the production and marketing of the competing product. Therefore, it is indisputable that MSD obtained a benefit thanks to the actions of the appointed expert judicially and, therefore, cannot decline its responsibility by placing it exclusively on the expert.  </w:t>
        <w:br/>
        <w:t xml:space="preserve">(389) Therefore, it can be inferred that the procedure initiated by MSD was tainted from the outset by a misleading request for DCH, which did not respond to the legitimate purpose of asserting its interests, that is, to ascertain whether or not there was a patent infringement, but rather to create an appearance that would later facilitate the precautionary measures.  </w:t>
        <w:br/>
        <w:t xml:space="preserve">(390) Regarding the second of the requirements needed for the DCH to be necessary, the assertiveness of the DCH request regarding the presumed patent infringement is based on previous infringements by INSUD, and on its status as a generic drug:  </w:t>
        <w:br/>
        <w:t xml:space="preserve">“A second indication is that the vaginal ring in the lawsuit has been authorized by the AEMPS as a generic drug (EFG) of the Nuvaring® medication of my clients, insofar as it is bioequivalent, which means that it releases the same two active ingredients (etonogestrel and ethinylestradiol) and has the same pharmaceutical form. […]”  </w:t>
        <w:br/>
        <w:t xml:space="preserve">(391) This second assertion contradicts both the known technical elements of the new ring and the information gathered in MSD's inspections. The patent infringement, as established by the subsequent request for precautionary measures, pivots not on the status of a generic drug, but on the saturation level of the compounds contained in the ring.  </w:t>
        <w:br/>
        <w:t xml:space="preserve">(392) Secondly, the documents gathered in the MSD inspection refer to the characteristics of the new ring that presume its non-infringement of the patent, especially the subsaturation of the compounds, due to the lack of need for cold storage.  </w:t>
        <w:br/>
        <w:t xml:space="preserve">(393) [CONFIDENTIAL]254:  </w:t>
        <w:br/>
        <w:t xml:space="preserve">Image 10. [CONFIDENTIAL]  </w:t>
        <w:br/>
        <w:t xml:space="preserve">Source: folio 6.318.  </w:t>
        <w:br/>
        <w:t xml:space="preserve">(394) [CONFIDENTIAL]  </w:t>
        <w:br/>
        <w:t xml:space="preserve">(395) [CONFIDENTIAL]  </w:t>
        <w:br/>
        <w:t>254 Folio 6.318.</w:t>
      </w:r>
    </w:p>
    <w:p>
      <w:r>
        <w:rPr>
          <w:b/>
        </w:rPr>
        <w:t>[Pages 103–105]</w:t>
      </w:r>
    </w:p>
    <w:p>
      <w:r>
        <w:t xml:space="preserve">S/0026/19  </w:t>
        <w:br/>
        <w:t xml:space="preserve">MERCK SHARP DOHME, S.A.  </w:t>
        <w:br/>
        <w:t xml:space="preserve">V.3.E.b.iii. Assessment of the precautionary measures  </w:t>
        <w:br/>
        <w:t xml:space="preserve">(396) The unfounded nature of the legal action initiated by MSD is evident in the request for precautionary measures, in which it unequivocally asserted the existence of an infringement of its Nuvaring patent without waiting for the outcome of the expert report ordered during the DCH.  </w:t>
        <w:br/>
        <w:t xml:space="preserve">(397) As already indicated in the proven facts (section IV.4.C of this resolution), the request for precautionary measures did not wait for the report from the expert A.R., as this was not concluded until September 13, but was based on a second expert report from ABG Patentes255 in which MSD states:  </w:t>
        <w:br/>
        <w:t xml:space="preserve">“The chemical experts who prepared the expert report submitted by this party along with this request for precautionary measures, ABG Patentes, have concluded without any doubt that ORNIBEL® and ETONOGESTREL/ETINILESTRADIOL LEON FARMA® fall within the scope of protection of my Clients' patent, so that their manufacture, export, and marketing is a literal and direct infringement.”  </w:t>
        <w:br/>
        <w:t xml:space="preserve">(398) The report was based on technical documents that were already publicly accessible on June 27, 2017, the date of the request for the verification of facts. At that time, as already indicated in paragraph (137), it had been stated before the judge that, with the information provided by MSD and publicly available, it was impossible to conclude the existence of a patent infringement.256  </w:t>
        <w:br/>
        <w:t xml:space="preserve">(399) This fact again highlights the lack of transparency and the deception with which MSD acted, which is clearly far from a merit-based competition.  </w:t>
        <w:br/>
        <w:t xml:space="preserve">(400) Secondly, the evidence that MSD was not seeking to enforce its rights, but to harass INSUD is evident from the fact that on September 11, 2017 (the date it submitted its request for precautionary measures), MSD had additional information about the Ornibel ring. On that date, MSD had sufficient data to rule out -by its own means- the infringement of the patent. It had access to the technical sheet of the product authorization by the AEMPS, so it could know that it did not require cold storage, which is a relevant indication of non-infringement.  </w:t>
        <w:br/>
        <w:t xml:space="preserve">255 Report from ABG Patentes attached to the request for precautionary measures submitted by MSD dated September 11, 2017 provided by INSUD PHARMA on February 11, 2021 (folios 7479 to 7522).  </w:t>
        <w:br/>
        <w:t xml:space="preserve">256 Report from ABG Patentes annexed to the verification of facts requested on June 27, 2017 by MSD provided by INSUD PHARMA on February 11, 2021 (folios 7.476 to 7.478).  </w:t>
        <w:br/>
        <w:t xml:space="preserve">S/0026/19  </w:t>
        <w:br/>
        <w:t xml:space="preserve">MERCK SHARP DOHME, S.A.  </w:t>
        <w:br/>
        <w:t xml:space="preserve">(401) It is an established fact that, [CONFIDENTIAL]  </w:t>
        <w:br/>
        <w:t xml:space="preserve">[CONFIDENTIAL]257  </w:t>
        <w:br/>
        <w:t xml:space="preserve">(402) [CONFIDENTIAL] 258.  </w:t>
        <w:br/>
        <w:t xml:space="preserve">(403) Notwithstanding the above, as indicated in the Order of the Commercial Court No. 5 of Barcelona revoking the precautionary measures, the absence of infringement could have been determined without analyzing any sample.259  </w:t>
        <w:br/>
        <w:t xml:space="preserve">“Even disregarding such tests or trials, Professor K.M. concludes deductively that the LF ring is outside the scope of the claims of ES´282 based on a comparison between the description of EP´815 and the technical sheet of the LF ring: the technical sheet of the LF ring does not require special low-temperature storage conditions (section 6.4 of the technical sheet), whereas, in the case of ES´283, cold storage of the vaginal ring is necessary since the ETO is formulated in the core in a supersaturated state” (emphasis added).  </w:t>
        <w:br/>
        <w:t xml:space="preserve">(404) Despite all this evidence in the possession of MSD at the time of submitting the request for precautionary measures, MSD bases its claim on the second expert report from ABG Patentes.  </w:t>
        <w:br/>
        <w:t xml:space="preserve">(405) In the review procedure of the Order adopting the precautionary measures, Professor K.M., expert of INSUD PHARMA, “a true expert in the field at an international level” as expressly qualified by the Order of the Provincial Court of Barcelona dated November 13, 2018,260 stated that the “flat film test” could be performed using a sample of an INSUD PHARMA ring purchased at a pharmacy.261 For these purposes, Dr. K.M. indicated that, through the aforementioned test, saturation values could be obtained in a period of even one week.262  </w:t>
        <w:br/>
        <w:t xml:space="preserve">(406) Therefore, and contrary to what was indicated in court by MSD, this Chamber can only conclude that MSD had sufficient evidentiary means to determine the infringement of the Nuvaring patent,  </w:t>
        <w:br/>
        <w:t xml:space="preserve">257 Email [CONFIDENTIAL] (folios 2.787 and 2.788).  </w:t>
        <w:br/>
        <w:t xml:space="preserve">258 Statement from Dr. K.M. provided by INSUD PHARMA (folio 9.756).  </w:t>
        <w:br/>
        <w:t xml:space="preserve">259 Order of the Commercial Court No. 5 of Barcelona dated December 12, 2017 (folios 788 to 809) provided by INSUD PHARMA in the complaint.  </w:t>
        <w:br/>
        <w:t xml:space="preserve">260 Legal Basis Third of Order 145/2018 of the Provincial Court of Barcelona dated November 13, 2018 provided by INSUD PHARMA in its complaint (folio 178 to 179).  </w:t>
        <w:br/>
        <w:t xml:space="preserve">261 Statements from Professor K.M. provided by INSUD PHARMA in its written allegations of March 22, 2022 (folios 9666 to 9752).  </w:t>
        <w:br/>
        <w:t xml:space="preserve">262 Statements from Professor K.M. provided by INSUD PHARMA in its written allegations of March 22, 2022 (folios 9666 to 9752).  </w:t>
        <w:br/>
        <w:t xml:space="preserve">S/0026/19  </w:t>
        <w:br/>
        <w:t xml:space="preserve">MERCK SHARP DOHME, S.A.  </w:t>
        <w:br/>
        <w:t xml:space="preserve">mechanisms that it presumably used and whose conclusions it omitted in the request for precautionary measures.  </w:t>
        <w:br/>
        <w:t xml:space="preserve">And there is no doubt that a company of the size of MSD had the means and technical knowledge and technical means to carry out such tests. Instead, it chose to initiate an unnecessary legal process to defend its right.  </w:t>
        <w:br/>
        <w:t xml:space="preserve">(407) MSD alleges that there were indications of infringement, one of which is bioequivalence, since, as noted in paragraph (109), the product from INSUD had been declared by the AEMPS as bioequivalent to Nuvaring.  </w:t>
        <w:br/>
        <w:t xml:space="preserve">This allegation cannot be favorably received, as -as indicated in paragraphs (113) to (121)- the fact that two drugs are bioequivalent simply means that they contain the same active ingredients (etonogestrel and ethinylestradiol), that they have the same pharmaceutical form (vaginal ring), and that they have the same safety and efficacy profile, but in no case does it mean that they have the same components (polymers) or the same technical characteristics (supersaturation or not of etonogestrel in the core polymer). It is undeniable that a company like MSD is well aware of these differences, so this statement only highlights the unfounded nature of the legal action taken and its manifest omission of relevant information, appropriate verification requests, etc. that prevented the judge from having a complete and reliable view of the real object of the process and its necessity, and, therefore, of the just cause of action.  </w:t>
        <w:br/>
        <w:t xml:space="preserve">(408) This instrumental nature of the process initiated by MSD is evidenced by the fact that it only sought precautionary measures, as it allowed the main process to lapse. It is an undisputed fact already exposed in paragraphs (180) to (182) that MSD allowed the judicial process for patent infringement against INSUD to lapse. The lapse occurred due to procedural inactivity as the judicial process remained suspended for more than two years. Through this inactivity, MSD waived the possibility of a ruling on the merits and, with it, the possibility of obtaining compensation for damages.  </w:t>
        <w:br/>
        <w:t xml:space="preserve">(409) This Chamber considers that this lapse of the main lawsuit is a strong evidentiary element of the unfounded nature of the process initiated by MSD against INSUD PHARMA. As already indicated in paragraph (72), it is a concern of the legislator to prevent precautionary measures from being sought “for their own sake” since their purpose must be to ensure the effectiveness of the future judgment.  </w:t>
        <w:br/>
        <w:t>(410) Allowing the lapse of the lawsuit after having invested significant resources and requested and initially obtained precautionary measures raises questions about the conviction of</w:t>
      </w:r>
    </w:p>
    <w:p>
      <w:r>
        <w:rPr>
          <w:b/>
        </w:rPr>
        <w:t>[Pages 106–108]</w:t>
      </w:r>
    </w:p>
    <w:p>
      <w:r>
        <w:t xml:space="preserve">S/0026/19  </w:t>
        <w:br/>
        <w:t xml:space="preserve">MERCK SHARP DOHME, S.A.  </w:t>
        <w:br/>
        <w:t xml:space="preserve">the assertions on which both the DCH and the request for precautionary measures were based.  </w:t>
        <w:br/>
        <w:t xml:space="preserve">(411) MSD alleges that the expiration of the main lawsuit originated from a suspension requested from the judicial body by mutual agreement with INSUD. This allegation does not detract from the assertion that MSD's action of allowing the expiration of the main lawsuit is illogical. A defendant does not have the capacity to withdraw from a lawsuit; that is something only the plaintiff can do. Therefore, MSD, through its inactivity, allowed the procedure to last until the expiration of the lawsuit.  </w:t>
        <w:br/>
        <w:t xml:space="preserve">(412) Precautionary measures are, by definition, accessory to the main procedure, so they make no sense if not as a securing element of the effectiveness of the future judgment on the merits. In this case, MSD has distorted the purpose of the precautionary measures, turning them into an end in themselves with the aim of achieving the halt of the marketing of INSUD PHARMA's ring, not only in Spain but also in other countries. This manner of proceeding is foreign to a competition based on merits, which presupposes a responsible and non-deviated use of precautionary measures.  </w:t>
        <w:br/>
        <w:t xml:space="preserve">(413) Regarding this issue, MSD argues that the main reason why no judgment was rendered on the merits of the matter was that, upon the expiration of the NUVARING patent in April 2018, the main trial lost its meaning.  </w:t>
        <w:br/>
        <w:t xml:space="preserve">(414) This allegation cannot be favorably received. Since the main lawsuit was suspended by Decree of December 4, 2020, referenced in paragraph (180), MSD could have urged the continuation of the proceedings. This conclusion is derived from the reading of the Decree, which states: "if neither party requests, within five days, the resumption of the process, the proceedings will be provisionally archived and will remain in that situation unless a request for continuation is made or the instance expires."263 Since it was MSD that had initiated the lawsuit, it was the only company with an interest in having the proceedings continue.  </w:t>
        <w:br/>
        <w:t xml:space="preserve">(415) It is contrary to all logic that MSD would withdraw from obtaining a judicial ruling in the main lawsuit regarding the alleged infringement of its patent if, as is evident from the expert report presented to obtain the precautionary measures, it was so certain of such infringement, given that the purpose of these resources is to obtain, as established in Article 71 of the LP, an express ruling on the existence of such infringement that allows for the cessation of the infringing conduct and the request for compensation for damages.  </w:t>
        <w:br/>
        <w:t xml:space="preserve">263 Decree submitted to the file by INSUD PHARMA SL in its complaint (folio 181).  </w:t>
        <w:br/>
        <w:t xml:space="preserve">S/0026/19  </w:t>
        <w:br/>
        <w:t xml:space="preserve">MERCK SHARP DOHME, S.A.  </w:t>
        <w:br/>
        <w:t xml:space="preserve">Therefore, MSD's argument in its allegations regarding the expiration of the main lawsuit lacks judicial and economic foundation, as MSD had significant incentives for its continuation since a favorable judicial decision would allow it to claim compensation from INSUD PHARMA for the damages suffered due to the alleged infringement of the Nuvaring patent, considering also that, in its complaint of October 26, 2017, MSD requested an economic condemnation against EXELTIS and LEON FARMA for the expenses and damages caused, including lost profits during the validity of the patent, that is, until April 9, 2018, as well as after its expiration.  </w:t>
        <w:br/>
        <w:t xml:space="preserve">(416) The expiration of the main lawsuit in which the infringement of the Nuvaring patent was being resolved due to the procedural inactivity of the parties for more than two years reaffirms the strategic element of the conduct as MSD did not promote the actions that would have allowed the continuity of the judicial procedure and, if applicable, the potential declaration of patent infringement.  </w:t>
        <w:br/>
        <w:t xml:space="preserve">(417) Regarding the withdrawal from the other judicial proceedings initiated in other European countries, the allegations made by MSD also lack meaning as the precautionary measures filed both in Spain and in other jurisdictions pursued the legitimate interest of protecting the Nuvaring patent, preventing the marketing of Ornibel and, consequently, obtaining compensation for the damages caused by the alleged infringement. Therefore, to assert that, starting in April 2018, it was most reasonable to withdraw from all judicial proceedings is equivalent to acknowledging that the precautionary measures both in Spain and in the rest of the European countries had an instrumental character in themselves and were not a measure intended to protect the patent and subsequently demonstrate the effective infringement thereof by INSUD.  </w:t>
        <w:br/>
        <w:t xml:space="preserve">(418) In short, the proven facts demonstrate the unfounded nature of the action, which did not seek to assert rights it considered legitimately its own, but rather to harass a competitor. Such a manner of proceeding is contrary to a competition based on merits and evidences that the exercise of the judicial action was not aimed at defending MSD's rights.  </w:t>
        <w:br/>
        <w:t xml:space="preserve">V.3.E.b.iv. On the unnecessary nature of an express ruling on procedural recklessness  </w:t>
        <w:br/>
        <w:t xml:space="preserve">(419) MSD states, citing what was indicated by the instructing body in its resolution proposal264, that the assessment of abusive litigation must derive from what was resolved by the jurisdictional body that dealt with the litigation. It points out that "procedural recklessness" and the absence of "iusta causa litigandi" are not two distinct institutions but two alternative ways of referring to the same phenomenon: litigating without manifestly having a minimally reasonable cause. After equating abusive litigation with procedural recklessness, MSD states that it cannot be asserted that there is abusive litigation, since INSUD PHARMA did not obtain a favorable ruling on its request for MSD to be condemned for procedural recklessness.  </w:t>
        <w:br/>
        <w:t xml:space="preserve">MSD argues that the action raised was not unfounded, and this conclusion must be inferred from what was resolved by the judicial body, as stated in the PR in its sections 342 and 366 of the PR. In support of its claim, it argues that there has been no condemnation for procedural recklessness in the present case, as the Commercial Court No. 5 of Barcelona dismissed INSUD PHARMA's request to declare that MSD had requested and obtained the precautionary measures with procedural recklessness and that, moreover, this ruling was not appealed before the AP of Barcelona.  </w:t>
        <w:br/>
        <w:t xml:space="preserve">(420) The examination of the background reveals that this request was made in the opposition to the request for precautionary measures referenced in paragraphs (169) and following and was not favorably received. Indeed, the Order of December 12, 2017, cited in paragraph (171) of this resolution, revoking the precautionary measures, did not rule on the request for procedural recklessness raised by INSUD PHARMA and imposed costs on MSD according to the ordinary regime (imposition of costs on the losing party) and provisionally, pending what resulted from the main procedure.  </w:t>
        <w:br/>
        <w:t xml:space="preserve">(421) MSD's allegation that the first of the requirements of the Commission's test be equated with procedural recklessness cannot prosper. In the case at hand, the order of the Commercial Court No. 5 that lifted the precautionary measures did not rule on the request for procedural recklessness raised by INSUD PHARMA and imposed costs according to the general regime, but this cannot prejudge the assessment of the competition authority regarding the anti-competitive nature of the conduct.  </w:t>
        <w:br/>
        <w:t>(422) That the competition authority determines that it cannot be considered that the judicial action aims to assert the rights of the company does not require as a prior condition a ruling on procedural recklessness. The declaration of procedural recklessness occurs within the framework of a costs incident in a completely different procedural context from the ruling that corresponds to a competition authority.</w:t>
      </w:r>
    </w:p>
    <w:p>
      <w:r>
        <w:rPr>
          <w:b/>
        </w:rPr>
        <w:t>[Pages 109–111]</w:t>
      </w:r>
    </w:p>
    <w:p>
      <w:r>
        <w:t xml:space="preserve">S/0026/19  </w:t>
        <w:br/>
        <w:t xml:space="preserve">MERCK SHARP DOHME, S.A.  </w:t>
        <w:br/>
        <w:t xml:space="preserve">(423) Consequently, the allegation of MSD must be rejected, as the action manifestly lacks foundation from an objective point of view, which does not require the prior declaration of procedural recklessness.  </w:t>
        <w:br/>
        <w:t xml:space="preserve">V.3.E.b.v. On the full application of the jurisprudence of the AstraZeneca case to the present case  </w:t>
        <w:br/>
        <w:t xml:space="preserve">(424) MSD argues that it does not assert that the action manifestly lacks foundation in those cases where the body resolving a claim lacks discretionary powers. In support of this allegation, it cites in line with what was determined in the CJEU ruling of September 20, 2018, Agria Polska265 and with what was determined in the Judgment of the General Court AstraZeneca.  </w:t>
        <w:br/>
        <w:t xml:space="preserve">(425) MSD claims that in this case the prerequisites for abusive litigation would not be met, which should be interpreted and applied restrictively and under absolutely exceptional circumstances, parameters that, in MSD's opinion, would not be observed.  </w:t>
        <w:br/>
        <w:t xml:space="preserve">(426) MSD points out that the jurisprudence of the AstraZeneca case is not directly applicable to the case as it does not specifically address judicial actions, but rather misleading statements to patent offices. Instead, it considers that the Judgment Agria Polska266, (Case C‑373/17 P ECLI:EU:C:2018:756) should be applied, which dismissed the appeal against a Decision of the European Commission, by virtue of which another complaint for alleged abusive litigation was archived from the perspective of Articles 101 and 102 TFEU. The CJEU placed special emphasis on the fact that the administrative and criminal authorities involved in the aforementioned Agria Polska case also had broad discretionary powers when making their decisions.  </w:t>
        <w:br/>
        <w:t xml:space="preserve">(427) As the CJEU states in this regard (paragraph 56):  </w:t>
        <w:br/>
        <w:t xml:space="preserve">“Secondly, regarding the alleged errors concerning the application, in paragraphs 67 to 73 of the contested judgment, of the jurisprudence resulting from the judgments of July 17, 1998, ITT Promedia/Commission (T-111/96, EU:T:1998:183), and of July 1, 2010, AstraZeneca/Commission (T-321/05, EU:T:2010:266), it should be noted that, in paragraphs 69 to 71 of the contested judgment, the General Court highlighted that those two judgments questioned different behaviors from those attributed in the present case to the reported entities. According to the General Court, in the cases that led to the aforementioned judgments, the administrative and judicial authorities to which the dominant companies appealed had no discretion to assess the claims of those companies. On the contrary, as results from paragraphs 49 and 50 of the contested judgment, to which paragraph 71 of that judgment refers, in the circumstances of the present case, the authorities to which they appealed did have such discretion.”  </w:t>
        <w:br/>
        <w:t xml:space="preserve">(428) It reasons that, in the present case, the Commercial Court No. 5 of Barcelona - just as occurred in Case C‑373/17 P Agria Polska and contrary to what happened in ITT Promedia or AstraZeneca - had full discretion to agree or not to the precautionary measures requested by MSD, as well as for their subsequent clarification on September 26, 2017, and their subsequent lifting on November 12, 2017. It also points out that the judicial body had the freedom to adopt precautionary measures “with cross-border scope,” as MSD indicates, extending the effect of the measure to exportation.  </w:t>
        <w:br/>
        <w:t xml:space="preserve">(429) At the outset, it should be noted that, as will be stated in paragraph (499), it is not true that the judge has discretion to decide whether the precautionary measures extend to prohibiting the export of a product, since by definition exportation is something that falls outside the scope of the ius prohibendi (52.1.b of the LP).  </w:t>
        <w:br/>
        <w:t xml:space="preserve">(430) Aside from this clarification, this allegation cannot prosper, as the case analyzed here presents significant similarities with AstraZeneca, and the reasoning of Agria Polska cannot be extended, as it cannot be asserted - as MSD does - that a judicial body is endowed with broad discretionary powers, similar, according to its argument, to those that an administrative authority has to initiate a procedure (ex officio) when considering a complaint to be well-founded.  </w:t>
        <w:br/>
        <w:t xml:space="preserve">(431) A precautionary measures procedure is not comparable to an administrative complaint, as in this case the judge is obliged to resolve it, as established by the Organic Law of the Judiciary in its Article 11.3, which states: The Courts and Tribunals, in accordance with the principle of effective protection enshrined in Article 24 of the Constitution, must always resolve the claims presented to them, and may only dismiss them for formal reasons when the defect is uncorrectable or cannot be corrected by the procedure established in the laws.  </w:t>
        <w:br/>
        <w:t xml:space="preserve">(432) This obligation to resolve that weighs on the judge is something substantially different from the discretion with which an administrative body acts when receiving a complaint, which is the case resolved in Agria Polska. Making an analogy with our administrative law system, complaints in an administrative procedure have no more value than to inform an administrative body of the existence of a certain fact that could justify the initiation of an administrative procedure ex officio.267 But neither do they place the body that receives it under an unavoidable obligation to resolve, nor does its presentation confer upon the complainant the status of an interested party.  </w:t>
        <w:br/>
        <w:t xml:space="preserve">(433) For this reason, the submission of complaints to an administrative authority - however unfounded and repeated they may be - does not meet the requirements established by community jurisprudence for abusive litigation. The potentially abusive nature of an administrative complaint can be neutralized by the action of the administrative body in exercising its discretionary powers, whose first action is to consider the indications well-founded. It may happen that a complaint from an individual is archived without further processing: this is the essence of the CJEU ruling in Agria Polska, as administrative bodies have discretion to filter unfounded complaints, so that they do not serve as a basis for initiating a procedure.  </w:t>
        <w:br/>
        <w:t xml:space="preserve">(434) However, these discretionary powers that administrative bodies have to process complaints do not exist in the case of a lawsuit filed before a judicial body, as when a judicial body is presented with a request for precautionary measures, it has no option but to resolve it.  </w:t>
        <w:br/>
        <w:t xml:space="preserve">(435) Therefore, this Chamber considers, contrary to what MSD claims, that deceiving a judicial body in a procedure such as the one presented here is comparable to deceiving patent offices, so the jurisprudence established in the AstraZeneca case is fully applicable.  </w:t>
        <w:br/>
        <w:t xml:space="preserve">(436) Delving into MSD's allegations regarding the discretion with which the Court acted when agreeing to the precautionary measure of suspension, it is appropriate to bring to mind the jurisprudence of the AstraZeneca case, which reminds us that the fact that the judicial body has granted a request for precautionary measures does not detract from the conclusion that the judicial action was intended to harass a competitor:  </w:t>
        <w:br/>
        <w:t xml:space="preserve">“The success of a practice of excluding competitors that consists of erecting administrative barriers to entry in order to obtain, irregularly, exclusive rights, necessarily depends on the reaction of public authorities, including that of national courts when processing the procedures that, where appropriate, competitors initiate to obtain the annulment of such rights. In this context, statements aimed at irregularly obtaining exclusive rights are only constitutive of an abuse when it is demonstrated that, taking into account the objective context in which they are made, such statements can actually lead public authorities to...  </w:t>
        <w:br/>
        <w:t>267 Article 62 of Law 39/2015, of October 1, on the Common Administrative Procedure of Public Administrations, “BOE” No. 236, of 02/10/2015.</w:t>
      </w:r>
    </w:p>
    <w:p>
      <w:r>
        <w:rPr>
          <w:b/>
        </w:rPr>
        <w:t>[Pages 112–114]</w:t>
      </w:r>
    </w:p>
    <w:p>
      <w:r>
        <w:t xml:space="preserve">S/0026/19  </w:t>
        <w:br/>
        <w:t xml:space="preserve">MERCK SHARP DOHME, S.A.  </w:t>
        <w:br/>
        <w:t xml:space="preserve">"grant the requested exclusive right." (T-321/05 - AstraZeneca v Commission ECLI:EU:T:2010:266, paragraph 377).  </w:t>
        <w:br/>
        <w:t xml:space="preserve">(437) In the present case, the misleading statements and representations made by MSD, taking into account the objective context in which they were made, were fundamental for the Commercial Court No. 5 of Barcelona to adopt the requested precautionary measure.  </w:t>
        <w:br/>
        <w:t xml:space="preserve">V.3.E.b.vi. Response to other allegations by MSD regarding the legitimacy of the judicial action taken  </w:t>
        <w:br/>
        <w:t xml:space="preserve">(438) MSD claims that the action taken responded to the legitimate purpose of asserting its rights. It points out that evidence of this is the statement in the order of November 13, 2018, from the Provincial Court of Barcelona referenced in paragraph (179), which states that "it presents significant uncertainties."  </w:t>
        <w:br/>
        <w:t xml:space="preserve">(439) To respond to that allegation, a complete reading of the order is necessary, and its assessment in the context of the action taken reveals that the uncertainties are attributable to MSD's behavior and, as has already been stated in the preceding paragraphs, that was precisely its intention: to confuse the judicial body, and the truth is that it achieved its objective.  </w:t>
        <w:br/>
        <w:t xml:space="preserve">(440) MSD cites in its defense excerpts from some of the conversations that took place internally among MSD staff and that were collected during the inspection. [CONFIDENTIAL].  </w:t>
        <w:br/>
        <w:t xml:space="preserve">The citation refers to the following excerpts from conversations:  </w:t>
        <w:br/>
        <w:t xml:space="preserve">- [CONFIDENTIAL].268.  </w:t>
        <w:br/>
        <w:t xml:space="preserve">- [CONFIDENTIAL].269.  </w:t>
        <w:br/>
        <w:t xml:space="preserve">- [CONFIDENTIAL].270  </w:t>
        <w:br/>
        <w:t xml:space="preserve">- [CONFIDENTIAL].271  </w:t>
        <w:br/>
        <w:t xml:space="preserve">- [CONFIDENTIAL].  </w:t>
        <w:br/>
        <w:t xml:space="preserve">- [CONFIDENTIAL].272.  </w:t>
        <w:br/>
        <w:t xml:space="preserve">268 [CONFIDENTIAL]. (folios 4184 to 4193).  </w:t>
        <w:br/>
        <w:t xml:space="preserve">269 Document [CONFIDENTIAL] (folios 4148 to 4150).  </w:t>
        <w:br/>
        <w:t xml:space="preserve">270 [CONFIDENTIAL] (folios 4184 to 4193).  </w:t>
        <w:br/>
        <w:t xml:space="preserve">271 [CONFIDENTIAL]. (folios 3059 to 3062).  </w:t>
        <w:br/>
        <w:t xml:space="preserve">272 [CONFIDENTIAL], Folios 3.184 and 3.185 of the File.  </w:t>
        <w:br/>
        <w:t xml:space="preserve">S/0026/19  </w:t>
        <w:br/>
        <w:t xml:space="preserve">MERCK SHARP DOHME, S.A.  </w:t>
        <w:br/>
        <w:t xml:space="preserve">(441) Regarding this allegation, it should be noted that the attribution of conduct is based on a joint assessment of the evidence that is part of the file without drawing partial conclusions from isolated or disconnected elements of the file.  </w:t>
        <w:br/>
        <w:t xml:space="preserve">(442) This Chamber does not rule out that indeed, as MSD points out, some of MSD's employees had a genuine conviction of the relevance and viability, as well as the legitimate basis of the actions taken. This analysis has not been carried out, as it has not been the subject of this file to determine the responsibility that MSD's executives may have incurred. Some of the emails that MSD cites in its defense are addressed to multiple recipients (to several MSD employees), and it is possible that not all of them participated in the conduct being judged here. Therefore, this allegation does not refute the assessment of the facts or the conclusions reached by this Chamber regarding the existence of an abuse of a dominant position, so the allegation cannot prosper.  </w:t>
        <w:br/>
        <w:t xml:space="preserve">(443) In conclusion, this Chamber considers that the first element for appreciating the existence of an abuse of a dominant position in the conduct being judged here is present, as it cannot be considered that the judicial action taken by MSD aimed to defend rights that it could legitimately consider its own at the time of undertaking them.  </w:t>
        <w:br/>
        <w:t xml:space="preserve">Second requirement: that the action serves an anticompetitive purpose  </w:t>
        <w:br/>
        <w:t xml:space="preserve">(444) Once it has been established in section (V.3.E.b) that the judicial actions taken by MSD were manifestly unfounded, it is appropriate to analyze the concurrence of the second requirement necessary to appreciate the existence of an abusive litigation: that the action serves an anticompetitive plan. This means that the action seeks to eliminate competition through a plan.  </w:t>
        <w:br/>
        <w:t xml:space="preserve">(445) Although the abuse of a dominant position is an objective concept, according to repeated community jurisprudence, this does not preclude taking intent into account when it is established that the dominant operator had precisely the aim of obstructing competition, as established in the Judgment of the CJEU of March 16, 2000.273  </w:t>
        <w:br/>
        <w:t xml:space="preserve">273 Judgment of the CJEU of March 16, 2000 (joined cases C-395/96 P and C-396/96 P Compagnie Maritime Belge) ECLI:EU:C:1998:518.  </w:t>
        <w:br/>
        <w:t xml:space="preserve">S/0026/19  </w:t>
        <w:br/>
        <w:t xml:space="preserve">MERCK SHARP DOHME, S.A.  </w:t>
        <w:br/>
        <w:t xml:space="preserve">(446) Regarding the intent of anticompetitive practices, the AstraZeneca274 and Servier Judgments established that the intention of the dominant company plays a decisive role in the considerations of the European Commission and the Court275. In both cases, the intentionally illegitimate use of actions or rights with the aim of eliminating competitors was precisely what led to the conclusion of the existence of those abuses.  </w:t>
        <w:br/>
        <w:t xml:space="preserve">(447) Specifically, emphasis was placed on the fact that this "intention" explained the sole purpose of the anticompetitive practices, as it was not intended to assert legitimate rights but to simulate them, incurring an abuse of rights. Therefore, intent is a necessary condition in abuses and, in particular, in the pharmaceutical sector, which may consist of implementing a strategy aimed at excluding generic competition from the market.  </w:t>
        <w:br/>
        <w:t xml:space="preserve">(448) The AstraZeneca Judgment establishes276:  </w:t>
        <w:br/>
        <w:t xml:space="preserve">"while it is true that to identify an abuse of a dominant position it is not required to demonstrate the deliberate nature of the behavior that may mislead public authorities, this nature does constitute a relevant element that the Commission may take into account, if necessary. The circumstance alleged by the plaintiffs that the concept of abuse of a dominant position has an objective content and does not imply the intention to harm (see, in this sense, the judgment Aéroports de Paris/Commission, cited in paragraph 309 above, paragraph 173), should not lead to the conclusion that the intention to resort to practices foreign to competition based on merits is always irrelevant, since it remains possible to take it into account to support the conclusion that the company in question engaged in an abuse of a dominant position."  </w:t>
        <w:br/>
        <w:t xml:space="preserve">(449) Although intent is generally not decisive in cases of abuse of a dominant position, the presence of an intentional element in the conduct is relevant, as the ITT/Promedia test requires that the action taken be conceived within the framework of a plan whose purpose is to suppress competition.  </w:t>
        <w:br/>
        <w:t xml:space="preserve">(450) Since at least March 7, 2013, the date of the first evidence collected277, MSD was aware of the potential entry of generics into the market and of the  </w:t>
        <w:br/>
        <w:t xml:space="preserve">274 Judgment of the TG of July 1, 2010, AstraZeneca AB and AstraZeneca plc v Commission. Case T-321/05, EU: T:2010:266, confirmed in the Judgment of the CJEU of December 6, 2012, AstraZeneca AB and AstraZeneca plc v Commission, Case C-457/10.  </w:t>
        <w:br/>
        <w:t xml:space="preserve">275 Judgment of the CJEU (Extended Ninth Chamber) of December 12, 2018 (Extracts), Servier SAS and others v European Commission, C-201/19 P and C-176-19 P, EU: T:2018:922, paragraph 337.  </w:t>
        <w:br/>
        <w:t xml:space="preserve">276 Judgment of the CJEU of July 1, 2010, AstraZeneca AB and AstraZeneca plc v Commission. Case T-321/05, EU: T:2010:266, paragraph 359, confirmed in the Judgment of the CJEU of December 6, 2012, AstraZeneca AB and AstraZeneca plc v Commission, Case C-457/10.  </w:t>
        <w:br/>
        <w:t>277 [CONFIDENTIAL] (folios 1.354 to 1.368).</w:t>
      </w:r>
    </w:p>
    <w:p>
      <w:r>
        <w:rPr>
          <w:b/>
        </w:rPr>
        <w:t>[Pages 115–117]</w:t>
      </w:r>
    </w:p>
    <w:p>
      <w:r>
        <w:t xml:space="preserve">S/0026/19  </w:t>
        <w:br/>
        <w:t xml:space="preserve">MERCK SHARP DOHME, S.A.  </w:t>
        <w:br/>
        <w:t xml:space="preserve">existence of a competing product in the market for combined hormonal contraceptives, vaginal ring type.  </w:t>
        <w:br/>
        <w:t xml:space="preserve">(451) [CONFIDENTIAL]  </w:t>
        <w:br/>
        <w:t xml:space="preserve">(452) [CONFIDENTIAL] This document is cited in paragraph (223) of the background.278279  </w:t>
        <w:br/>
        <w:t xml:space="preserve">(453) The lack of coherence in the statements contained in both the DCE and the precautionary measures, which led to their lifting once INSUD had the capacity to defend its position before the court, demonstrates that the objective of the legal actions was aimed at achieving the halt of the production of Ornibel, with the declaration of patent infringement being secondary.  </w:t>
        <w:br/>
        <w:t xml:space="preserve">(454) The email cited in paragraph (228) [CONFIDENTIAL]280 Ultimately, long before initiating legal actions against INSUD PHARMA, MSD was aware that INSUD PHARMA's product was direct competition for its product Nuvaring, which led it to closely monitor the competing product.  </w:t>
        <w:br/>
        <w:t xml:space="preserve">(455) MSD's objective is to retain the maximum amount of sales of Nuvaring once generics are introduced into the market. To this end, it has developed a strategy aimed at this since at least 2015. The proven facts demonstrate that this sales retention strategy included a series of actions among which was the development of legal actions aimed at halting the manufacture and sale of the Ornibel ring.  </w:t>
        <w:br/>
        <w:t xml:space="preserve">(456) This point is evidenced in the internal email from MSD [CONFIDENTIAL].  </w:t>
        <w:br/>
        <w:t xml:space="preserve">(457) The same email contains the content of one of the slides included in the presentation. An excerpt from it is shown in image 9.  </w:t>
        <w:br/>
        <w:t xml:space="preserve">Image 11. [CONFIDENTIAL].  </w:t>
        <w:br/>
        <w:t xml:space="preserve">Source: folio 2.768  </w:t>
        <w:br/>
        <w:t xml:space="preserve">(458) [CONFIDENTIAL].  </w:t>
        <w:br/>
        <w:t xml:space="preserve">278 [CONFIDENTIAL] (folios 6.512 a 6.533).  </w:t>
        <w:br/>
        <w:t xml:space="preserve">279 [CONFIDENTIAL] (folios 4045, 4049, 4051, 4054, 4.062, 4.071 y 4.083).  </w:t>
        <w:br/>
        <w:t xml:space="preserve">280 [CONFIDENTIAL] (folios 6307 y 6308, 6322 y 6323, 6324 a 6326).  </w:t>
        <w:br/>
        <w:t xml:space="preserve">Comisión Nacional de los Mercados y la Competencia 115 de 158  </w:t>
        <w:br/>
        <w:t xml:space="preserve">C/ Alcalá, 47 – 28014 Madrid - C/ Bolivia, 56 – 08018 Barcelona  </w:t>
        <w:br/>
        <w:t>www.cnmc.es</w:t>
      </w:r>
    </w:p>
    <w:p>
      <w:r>
        <w:t xml:space="preserve">S/0026/19  </w:t>
        <w:br/>
        <w:t xml:space="preserve">MERCK SHARP DOHME, S.A.  </w:t>
        <w:br/>
        <w:t xml:space="preserve">(459) The bad faith with which MSD applied these actions is evidenced by the email exchanges it maintained with INSUD between June 13 and September 19, 2017. As has already been established in paragraphs (123) to (130), MSD ignored the successive offers from INSUD PHARMA to provide the necessary information to rule out patent infringement under confidentiality conditions. And this suggests that what MSD sought to achieve with the precautionary measures was to block INSUD PHARMA's access to the market.  </w:t>
        <w:br/>
        <w:t xml:space="preserve">(460) The analysis of the DCH and the request for precautionary measures carried out in sections V.3.E.B ii) and iii) of this resolution analyze the harmful elements on which the legal actions were based.  </w:t>
        <w:br/>
        <w:t xml:space="preserve">(461) MSD's intention to block its competitor is evidenced by the factual elements cited in paragraphs (245) to (249), from which it follows that MSD monitored the actions taken and their effectiveness in achieving the intended objective: delaying the entry of its main competitor. This intention is evident, for example, in the email [CONFIDENTIAL]. 281  </w:t>
        <w:br/>
        <w:t xml:space="preserve">“[CONFIDENTIAL]”.  </w:t>
        <w:br/>
        <w:t xml:space="preserve">(462) The intention to block a competitor is evident in the document [CONFIDENTIAL]. - cited in paragraph (230)- [CONFIDENTIAL].282  </w:t>
        <w:br/>
        <w:t xml:space="preserve">“[[CONFIDENTIAL].283  </w:t>
        <w:br/>
        <w:t xml:space="preserve">(463) As already indicated in paragraph (238), [CONFIDENTIAL].284  </w:t>
        <w:br/>
        <w:t xml:space="preserve">(464) [CONFIDENTIAL].285:  </w:t>
        <w:br/>
        <w:t xml:space="preserve">[CONFIDENTIAL].286  </w:t>
        <w:br/>
        <w:t xml:space="preserve">(465) [CONFIDENTIAL]  </w:t>
        <w:br/>
        <w:t xml:space="preserve">[CONFIDENTIAL]  </w:t>
        <w:br/>
        <w:t xml:space="preserve">(466) [CONFIDENTIAL]287  </w:t>
        <w:br/>
        <w:t xml:space="preserve">281 Document [CONFIDENTIAL]. (folios 6366 a 6408).  </w:t>
        <w:br/>
        <w:t xml:space="preserve">282 [CONFIDENTIAL] (folios 4148 a 4150).  </w:t>
        <w:br/>
        <w:t xml:space="preserve">283 [CONFIDENTIAL].  </w:t>
        <w:br/>
        <w:t xml:space="preserve">284 [CONFIDENTIAL] (folios 2.885 a 2.897).  </w:t>
        <w:br/>
        <w:t xml:space="preserve">285 [CONFIDENTIAL] (folios 2.885 a 2.897)  </w:t>
        <w:br/>
        <w:t xml:space="preserve">286 [CONFIDENTIAL].  </w:t>
        <w:br/>
        <w:t xml:space="preserve">287 [CONFIDENTIAL] (Folios 4.184 a 4.193).  </w:t>
        <w:br/>
        <w:t xml:space="preserve">Comisión Nacional de los Mercados y la Competencia 116 de 158  </w:t>
        <w:br/>
        <w:t xml:space="preserve">C/ Alcalá, 47 – 28014 Madrid - C/ Bolivia, 56 – 08018 Barcelona  </w:t>
        <w:br/>
        <w:t>www.cnmc.es</w:t>
      </w:r>
    </w:p>
    <w:p>
      <w:r>
        <w:t xml:space="preserve">S/0026/19  </w:t>
        <w:br/>
        <w:t xml:space="preserve">MERCK SHARP DOHME, S.A.  </w:t>
        <w:br/>
        <w:t xml:space="preserve">(467) [CONFIDENTIAL]288.  </w:t>
        <w:br/>
        <w:t xml:space="preserve">[CONFIDENTIAL].  </w:t>
        <w:br/>
        <w:t xml:space="preserve">(468) Ultimately, the reason why MSD only filed legal actions against INSUD PHARMA is because Ornibel was its main competitor, [CONFIDENTIAL] 289:  </w:t>
        <w:br/>
        <w:t xml:space="preserve">[CONFIDENTIAL]  </w:t>
        <w:br/>
        <w:t xml:space="preserve">(469) In conclusion, before exercising legal actions, MSD had perfectly identified the competing product, as evidenced by the cited evidence. And both at the time of exercising these actions and afterwards, MSD assessed the success of the action taken to block its competitor.  </w:t>
        <w:br/>
        <w:t xml:space="preserve">(470) Therefore, this Chamber considers that the second of the requirements established by jurisprudence is met in this case, as the legal action was conceived within a plan to suppress competition.  </w:t>
        <w:br/>
        <w:t xml:space="preserve">Conclusions of the Chamber on the fulfillment of the two requirements  </w:t>
        <w:br/>
        <w:t xml:space="preserve">(471) For the reasons pointed out in the previous sections, this Chamber considers that the actions developed by MSD meet the requirements established by jurisprudence in the ITT Promedia case, since the legal action taken did not respond to the legitimate purpose of defending its own rights and interests and was carried out within a plan whose aim was to suppress competition, both aspects corresponding to the literalness of the requirements established by said jurisprudence when it states: “a company that has a dominant position exercises legal actions (i) that cannot reasonably be considered to aim to assert its rights and that, therefore, can only serve to harass the opposing party and (ii) that are conceived within a plan whose purpose is to suppress competition.”  </w:t>
        <w:br/>
        <w:t xml:space="preserve">288 [CONFIDENTIAL] (folios 6366 a 6408).  </w:t>
        <w:br/>
        <w:t xml:space="preserve">289 [CONFIDENTIAL].  </w:t>
        <w:br/>
        <w:t xml:space="preserve">Comisión Nacional de los Mercados y la Competencia 117 de 158  </w:t>
        <w:br/>
        <w:t xml:space="preserve">C/ Alcalá, 47 – 28014 Madrid - C/ Bolivia, 56 – 08018 Barcelona  </w:t>
        <w:br/>
        <w:t>www.cnmc.es</w:t>
      </w:r>
    </w:p>
    <w:p>
      <w:r>
        <w:rPr>
          <w:b/>
        </w:rPr>
        <w:t>[Pages 118–120]</w:t>
      </w:r>
    </w:p>
    <w:p>
      <w:r>
        <w:t xml:space="preserve">S/0026/19  </w:t>
        <w:br/>
        <w:t xml:space="preserve">MERCK SHARP DOHME, S.A.  </w:t>
        <w:br/>
        <w:t xml:space="preserve">V.3.F. On the effects in the market  </w:t>
        <w:br/>
        <w:t xml:space="preserve">General principles  </w:t>
        <w:br/>
        <w:t xml:space="preserve">(472) In accordance with established jurisprudence, both from the EU290 and national291 and with the practice of this CNMC292, the assessment of an infringement of Articles 2 of the LDC and 102 of the TFEU does not require the demonstration that the practice carried out by the company in question has caused a real effect in the market, but it is sufficient to demonstrate that such an effect is possible or potential.  </w:t>
        <w:br/>
        <w:t xml:space="preserve">(473) Likewise, the abusive nature of a practice such as the one being judged here requires that it has the capacity to restrict competition and, in particular, to produce the expulsion effects from the market that are attributed to it [judgment of January 30, 2020, Generics (UK) and others, C-307/18, EU:C:2020:52, paragraph 154 and cited jurisprudence].  </w:t>
        <w:br/>
        <w:t xml:space="preserve">(474) However, to qualify a practice carried out by a company in a dominant position as abusive, it is not necessary to demonstrate, in the case of a practice carried out by such a company with the aim of expelling its competitors from the relevant market, that this result has been achieved, nor a specific exclusion effect in the market. Indeed, Article 102 TFEU aims to sanction the fact that one or more companies exploit a dominant position in the internal market or in a substantial part of it in an abusive manner, regardless of whether such exploitation has been successful or not (see, in this regard, the judgment of January 30, 2020, České dráhy/Commission, C-538/18 P and C-539/18 P, not published, EU:C:2020:53, paragraph 70 and cited jurisprudence).  </w:t>
        <w:br/>
        <w:t xml:space="preserve">(475) When it comes to potentially ambivalent conduct from the perspective of competition, the judgments of the CJEU, of September 6, 2017, Intel Corporation Inc. against Commission293 and of January 30, 2020, Generics (UK) and others294 proceed to an objective analysis of the probable effects in the market.  </w:t>
        <w:br/>
        <w:t xml:space="preserve">290 Judgment of the CJEU (Eighth Chamber) of March 29, 2012, Telefónica, S.A., and Telefónica de España, S.A. against European Commission, Case T‑336/07, EU: T:2012:172, paragraph 268.  </w:t>
        <w:br/>
        <w:t xml:space="preserve">291 Judgment of the Contentious-Administrative Chamber of the National Court, of February 28, 2014 (Appeal 39/2013) (Expte/0351/11 SYGNUS ECOVALOR).  </w:t>
        <w:br/>
        <w:t xml:space="preserve">292 Resolution of the Council of November 21, 2017 in the framework of File S/DC/0580/16 Breeders of Horses 2.  </w:t>
        <w:br/>
        <w:t xml:space="preserve">293 Judgment of the Court of Justice (Grand Chamber) of September 6, 2017, Intel Corporation Inc. vs the Commission, Case C‑413/14 P, EU:C:2017:632.  </w:t>
        <w:br/>
        <w:t xml:space="preserve">294 Judgment of the CJEU of January 30, 2020, Generics (UK) Ltd and others against Competition and Markets Authority, Request for a preliminary ruling made by the Competition Appeal Tribunal, Case C-307/18, EU:C:2020:52.  </w:t>
        <w:br/>
        <w:t xml:space="preserve">S/0026/19  </w:t>
        <w:br/>
        <w:t xml:space="preserve">MERCK SHARP DOHME, S.A.  </w:t>
        <w:br/>
        <w:t xml:space="preserve">(476) Specifically, the aforementioned Generics Judgment establishes that (emphasis added)295:  </w:t>
        <w:br/>
        <w:t xml:space="preserve">“it should also be noted that the abusive nature of a behavior requires that it has had the capacity to restrict competition and, in particular, to produce the expulsion effects from the market that are attributed to it (see, in this regard, the judgments of February 17, 2011, TeliaSonera Sverige, C-52/09, EU:C:2011:83, paragraphs 64 and 66, and of September 6, 2017, Intel/Commission, C-413/14 P, EU:C:2017:632, paragraph 138), an assessment that must be made taking into account the set of factual circumstances in which that behavior occurs (see, in this regard, the judgment of February 17, 2011, TeliaSonera Sverige, C-52/09, EU:C:2011:83, paragraph 68).”  </w:t>
        <w:br/>
        <w:t xml:space="preserve">(477) As has already been analyzed, in the specific case of sham or abusive litigation, for the exercise of judicial actions to constitute an abuse of a dominant position, it is necessary not only that the exercise of those judicial actions lacks foundation, with the aim of harassing the opposing party, but also that they “are conceived within the framework of a plan whose purpose is to eliminate competition,” with the subsequent effect of expelling real or potential competition296.  </w:t>
        <w:br/>
        <w:t xml:space="preserve">(478) Now, as the AstraZeneca Judgment points out, for such conduct to be considered abusive, it is not necessary to completely eliminate competition:297  </w:t>
        <w:br/>
        <w:t xml:space="preserve">“In this regard, the plaintiffs cannot rely on the judgment of July 10, 1990, Tetra Pak/Commission, cited in paragraph 310 above, to consider that total elimination of competition is required. First of all, it should be noted that the case at hand and the judgment of July 10, 1990, Tetra Pak/Commission, cited in paragraph 310 above, refer to different situations. While in the present case it concerns acts that may lead public authorities to grant an intellectual property right to which the company in a dominant position is not entitled, or to which it is entitled, but for a shorter time, the judgment of July 10, 1990, Tetra Pak/Commission, cited in paragraph 310 above, refers to the acquisition by a company holding a dominant position of a company that holds an exclusive license on a patent that constituted the only means to effectively compete with the company in a dominant position (paragraphs 1 and 23 of this judgment). Furthermore, it does not follow from that judgment that, for it to apply, Article 82 EC requires total elimination of competition. In this judgment, the Court limited itself to accepting the Commission's assessment that Article 82 EC did not allow, in that case, the company in a dominant position to, by acquiring an exclusive license, reinforce its “very considerable” dominance, and significantly prevent or delay “the access of new competitors to a market in which there was, if anything, very little competition” (paragraph 23 of that judgment).”  </w:t>
        <w:br/>
        <w:t xml:space="preserve">Application to the case  </w:t>
        <w:br/>
        <w:t xml:space="preserve">(479) In the present case, with the legal actions initiated in Spain, MSD managed to stop the production of the Ornibel ring or “LF” developed by INSUD PHARMA and its marketing from September298 to December 2017,299 in order to protect the Nuvaring market, not only at the national level but also in the European context, as the production of the INSUD PHARMA ring is centralized in the LEÓN FARMA factories in Spain. INSUD PHARMA did not manage to restore the marketing of the product until three months after the lifting of the precautionary measures at the end of March 2018.300  </w:t>
        <w:br/>
        <w:t xml:space="preserve">(480) Specifically, LEÓN FARMA took three months, from the lifting of the precautionary measures in December 2017, to be able to send the first batch of vaginal rings to its marketer EXELTIS. After its manufacture and until its availability, there is a preceding period equivalent to the “lead time” or the period from the receipt of the order to the delivery of the product, to which must be added the time necessary for the customer to inspect it and distribute it among pharmacies. Specifically, according to INSUD PHARMA, in its case, the so-called “lead time” is around 70 calendar days and, once the customer has received the ring, it inspects it and sends it to the pharmacies, through its distributors, which takes approximately 15 calendar days.301  </w:t>
        <w:br/>
        <w:t xml:space="preserve">(481) Therefore, the “relaunch” of the INSUD PHARMA ring in the case of Spain could not take place until the end of March 2018, with this period being even longer in the rest of Europe, given that the manufacturing of the ring is carried out exclusively at the LEÓN FARMA factory in Spain. This meant, according to INSUD PHARMA, in practice, starting from scratch in the market, both in Spain and in the  </w:t>
        <w:br/>
        <w:t xml:space="preserve">298 Order partially granting the precautionary measures requested by MSD dated September 18, 2017 submitted by INSUD PHARMA in the complaint (folios 716 to 745) and by MSD in its response to the Information Request made by this Directorate of Competition dated June 26, 2019 (folios 1539 to 1562).  </w:t>
        <w:br/>
        <w:t xml:space="preserve">299 Order of the Commercial Court No. 5 of Barcelona of December 12, 2017 (folios 788 to 809) submitted by INSUD PHARMA in the complaint.  </w:t>
        <w:br/>
        <w:t xml:space="preserve">300 Information provided by INSUD PHARMA dated February 11, 2021 (folios 6972 to 6984).  </w:t>
        <w:br/>
        <w:t>301 Information provided by INSUD PHARMA dated February 11, 2021 (folios 6972 to 6984).</w:t>
      </w:r>
    </w:p>
    <w:p>
      <w:r>
        <w:rPr>
          <w:b/>
        </w:rPr>
        <w:t>[Pages 121–123]</w:t>
      </w:r>
    </w:p>
    <w:p>
      <w:r>
        <w:t xml:space="preserve">S/0026/19  </w:t>
        <w:br/>
        <w:t xml:space="preserve">MERCK SHARP DOHME, S.A.  </w:t>
        <w:br/>
        <w:t xml:space="preserve">in other countries, since it not only had to restore the supply of the product, but also had to face the reputational damage that the withdrawal of its ring had caused and restore the lost trust.302  </w:t>
        <w:br/>
        <w:t xml:space="preserve">(482) These are not the only effects of the conduct that must be taken into consideration to estimate the illicit benefit obtained by MSD. It must also be considered that the introduction of a generic drug into the market implies the progressive decrease in sales of the previously monopolistic product and that this substitution process extends over time until the sales of the generics cease to grow and a new market equilibrium is established. The quantification of this effect in the present case is analyzed in detail in section V.5.B of this resolution.  </w:t>
        <w:br/>
        <w:t xml:space="preserve">(483) Likewise, through these practices, it has been demonstrated that MSD achieved the objective it pursued, namely, to maintain the dominant position it held in the market for vaginal rings, despite the entry of generics into the market in June 2017 and the expiration of its patent in April 2018, as evidenced by the evidence collected during the inspection.  </w:t>
        <w:br/>
        <w:t xml:space="preserve">(484) [CONFIDENTIAL]  </w:t>
        <w:br/>
        <w:t xml:space="preserve">(485) [CONFIDENTIAL] 303  </w:t>
        <w:br/>
        <w:t xml:space="preserve">[CONFIDENTIAL]  </w:t>
        <w:br/>
        <w:t xml:space="preserve">302 Information provided by INSUD PHARMA dated February 11, 2021 (folios 6972 to 6984).  </w:t>
        <w:br/>
        <w:t xml:space="preserve">303 [CONFIDENTIAL] (folio 3435).  </w:t>
        <w:br/>
        <w:t xml:space="preserve">Comisión Nacional de los Mercados y la Competencia 121 of 158  </w:t>
        <w:br/>
        <w:t xml:space="preserve">C/ Alcalá, 47 – 28014 Madrid - C/ Bolivia, 56 – 08018 Barcelona  </w:t>
        <w:br/>
        <w:t>www.cnmc.es</w:t>
      </w:r>
    </w:p>
    <w:p>
      <w:r>
        <w:t xml:space="preserve">S/0026/19  </w:t>
        <w:br/>
        <w:t xml:space="preserve">MERCK SHARP DOHME, S.A.  </w:t>
        <w:br/>
        <w:t xml:space="preserve">Image 12. Comparison with IMS data April of packs of 1 and 3 rings  </w:t>
        <w:br/>
        <w:t xml:space="preserve">Source: folio 4.746.  </w:t>
        <w:br/>
        <w:t xml:space="preserve">(486) [CONFIDENTIAL] 304  </w:t>
        <w:br/>
        <w:t xml:space="preserve">(487) [CONFIDENTIAL]305.  </w:t>
        <w:br/>
        <w:t xml:space="preserve">(488) On the other hand, taking the data provided by IQVIA on the sale of contraceptive rings, in which the evolution of the sales of each of the competitors in the vaginal ring market can be observed, it is noted how the effect of the precautionary measure adopted in September 2017 resulted in a considerable delay - of about 6-7 months - in the opening of the market, protecting the sales of MSD's Nuvaring for a quite prolonged time allowing it to regain and maintain market shares close to 100% until March 2018 and face the subsequent stage of market share loss from a much more advantageous position than would have occurred had natural competition in the market taken place since August 2017:306  </w:t>
        <w:br/>
        <w:t xml:space="preserve">Image 11. Evolution of ring sales in Spain between 2017 and 2020  </w:t>
        <w:br/>
        <w:t xml:space="preserve">Source: folio 6.980.  </w:t>
        <w:br/>
        <w:t xml:space="preserve">Image 13. Market shares of rings in Spain  </w:t>
        <w:br/>
        <w:t xml:space="preserve">Source: folio 6.981  </w:t>
        <w:br/>
        <w:t xml:space="preserve">(489) Currently, a damages procedure is underway before the Commercial Court No. 5 of Barcelona, following the filing of the Enforcement Claim with a prior incident, stemming from the Separate Piece  </w:t>
        <w:br/>
        <w:t xml:space="preserve">306 Information provided by INSUD PHARMA dated February 11, 2021 (folios 6.972 to 6.984).  </w:t>
        <w:br/>
        <w:t xml:space="preserve">Comisión Nacional de los Mercados y la Competencia 123 of 158  </w:t>
        <w:br/>
        <w:t xml:space="preserve">C/ Alcalá, 47 – 28014 Madrid - C/ Bolivia, 56 – 08018 Barcelona  </w:t>
        <w:br/>
        <w:t>www.cnmc.es</w:t>
      </w:r>
    </w:p>
    <w:p>
      <w:r>
        <w:rPr>
          <w:b/>
        </w:rPr>
        <w:t>[Pages 124–126]</w:t>
      </w:r>
    </w:p>
    <w:p>
      <w:r>
        <w:t xml:space="preserve">S/0026/19  </w:t>
        <w:br/>
        <w:t xml:space="preserve">MERCK SHARP DOHME, S.A.  </w:t>
        <w:br/>
        <w:t xml:space="preserve">Precautionary Measures 660/2017, subscribed by INSUD PHARMA and submitted on September 16, 2020.307 According to the information provided by INSUD PHARMA, by filing said Enforcement Claim, the company is complying with the order issued by the aforementioned Court on December 12, 2017, which lifted the precautionary measures adopted inaudita parte and expressly urged it to claim the damages suffered as a result of the prohibition to market and manufacture its vaginal ring based on etonogestrel and ethinylestradiol, launched in Spain by EXELTIS HEALTHCARE under the brand Ornibel.  </w:t>
        <w:br/>
        <w:t xml:space="preserve">(490) In the enforcement claim, damages are claimed not only for the subsidiaries of INSUD PHARMA, Laboratorios León Farma, S.A., responsible for the manufacture of the LF Ring, and Exeltis Healthcare, S.L., responsible for its marketing in Spain, but also for all other subsidiaries of the group responsible for the distribution of the ring in other European countries such as Sweden, Norway, Finland, Germany, Belgium, Czech Republic, Slovakia, Hungary, and Poland.308 In this regard, for the purposes of calculating the damages suffered by INSUD PHARMA, an expert report309 is provided in the enforcement claim in which the total damages are quantified at [CENSORED].310  </w:t>
        <w:br/>
        <w:t xml:space="preserve">(491) Furthermore, the expert report includes an estimate of the profit obtained by MSD from the sales of Nuvaring in the European market only during the years 2017, 2018, and 2019, which would amount to [CENSORED] million euros, as reflected in the following table:311  </w:t>
        <w:br/>
        <w:t xml:space="preserve">Image 14. Calculation of MSD's profit from the sales of NURAVING between 2017 and 2019  </w:t>
        <w:br/>
        <w:t xml:space="preserve">[CENSORED]  </w:t>
        <w:br/>
        <w:t xml:space="preserve">Source: folio 7.033.  </w:t>
        <w:br/>
        <w:t xml:space="preserve">(492) The aforementioned expert report stipulates that it is recorded in MSD's own annual accounts that the sales of Nuvaring only suffered a decline starting in 2019, due to the entry of competition in the European market as a result of the entry of generics. This decline could have occurred earlier if the precautionary measures had not been established. MSD's exclusivity was, therefore, artificially extended until 2019, at which point significant market losses began to be recorded, as reflected in the following tables included in the aforementioned expert report:  </w:t>
        <w:br/>
        <w:t xml:space="preserve">Image 15. [CENSORED]  </w:t>
        <w:br/>
        <w:t xml:space="preserve">Source: folio 7.037.  </w:t>
        <w:br/>
        <w:t xml:space="preserve">Image 16. [CENSORED]  </w:t>
        <w:br/>
        <w:t xml:space="preserve">Source: folio 7.037.  </w:t>
        <w:br/>
        <w:t xml:space="preserve">Image 17. [CENSORED]  </w:t>
        <w:br/>
        <w:t xml:space="preserve">Source: folio 7.038.  </w:t>
        <w:br/>
        <w:t xml:space="preserve">(493) This delay in the marketing of the rival product was internally acknowledged by MSD, as already noted in the proven facts cited in paragraphs (245) to (250) that refer to evidence gathered during the inspection conducted.  </w:t>
        <w:br/>
        <w:t xml:space="preserve">311 Expert report provided by INSUD PHARMA and attached to the enforcement claim submitted by INSUD PHARMA to the Commercial Court No. 5 of Barcelona (folios 6985 to 7042).  </w:t>
        <w:br/>
        <w:t xml:space="preserve">S/0026/19  </w:t>
        <w:br/>
        <w:t xml:space="preserve">MERCK SHARP DOHME, S.A.  </w:t>
        <w:br/>
        <w:t xml:space="preserve">Allegations of MSD  </w:t>
        <w:br/>
        <w:t xml:space="preserve">(494) MSD alleges that the precautionary measures completely lacked the real capacity to deploy anticompetitive effects in the market for two reasons: (i) on one hand, the precautionary measures were partially granted, and as they only covered the rings of EXELTIS and LEÓN FARMA, they did not prevent the manufacture of the rings for export outside of Spain, since the precautionary measures did not lead to the withdrawal from the market of all the rings that INSUD PHARMA had supplied to wholesalers and pharmacies and, moreover, were in effect for only two and a half months until they were lifted by the judge; and (ii) on the other hand, the subsequent delay in the manufacture and marketing of the rings is solely attributable to INSUD PHARMA due to manufacturing and quality defects that resulted in multiple product withdrawals.  </w:t>
        <w:br/>
        <w:t xml:space="preserve">(495) For these purposes, MSD reiterates its allegations regarding the withdrawal of the contraceptive ring from INSUD PHARMA due to quality defects in different countries, specifically in the Netherlands,312 Sweden,313 France314, and Germany315, as well as the technical data sheets of Ornibel.316  </w:t>
        <w:br/>
        <w:t xml:space="preserve">(496) The PR had already indicated that this fact had no impact on the delay in the penetration of the product since the product withdrawals took place in 2019 and 2020. In its allegations to the PR, MSD indicates that it is likely that the quality problems date back to previous years, as evidenced by the fact that the first technical data sheet317 of Ornibel (last revision of the text in May 2017) already warned of this circumstance. It is likely that the corresponding inquiries regarding the quality problems of the Complainant's product had to be conducted prior to 2018.  </w:t>
        <w:br/>
        <w:t xml:space="preserve">312 DOCUMENT NO. 12 - Communication withdrawal ETONOGESTREL ETHINYLESTRADIOL MYLAN of March 3, 2020 in the Netherlands, attached to MSD's allegations to the PCH (folio 8982).  </w:t>
        <w:br/>
        <w:t xml:space="preserve">313 DOCUMENT NO. 13 - Letter MEDICAL VALLEY INVEST withdrawal Ornibel of March 5, 2020 in Sweden attached to MSD's allegations to the PCH (folio 8983).  </w:t>
        <w:br/>
        <w:t xml:space="preserve">314 DOCUMENT NO. 14 - ANSM Information de sécurité withdrawals of March 2, 2020 France attached to MSD's allegations to the PCH (folios 8984 to 8987).  </w:t>
        <w:br/>
        <w:t xml:space="preserve">315 DOCUMENTS NO. 16 to 20 attached to MSD's allegations to the PCH (folios 8989 to 9248).  </w:t>
        <w:br/>
        <w:t xml:space="preserve">316 Documents No. 21 and 22 attached to MSD's allegations to the PCH (folios 9249 to 9291).  </w:t>
        <w:br/>
        <w:t xml:space="preserve">317 Technical data sheet provided by MSD in its request for verification of facts dated June 27, 2017 (folio 9.249 of the file).  </w:t>
        <w:br/>
        <w:t xml:space="preserve">Comisión Nacional de los Mercados y la Competencia 126 de 158  </w:t>
        <w:br/>
        <w:t xml:space="preserve">C/ Alcalá, 47 – 28014 Madrid - C/ Bolivia, 56 – 08018 Barcelona  </w:t>
        <w:br/>
        <w:t>www.cnmc.es</w:t>
      </w:r>
    </w:p>
    <w:p>
      <w:r>
        <w:rPr>
          <w:b/>
        </w:rPr>
        <w:t>[Pages 127–129]</w:t>
      </w:r>
    </w:p>
    <w:p>
      <w:r>
        <w:t xml:space="preserve">S/0026/19  </w:t>
        <w:br/>
        <w:t xml:space="preserve">MERCK SHARP DOHME, S.A.  </w:t>
        <w:br/>
        <w:t xml:space="preserve">Response to the allegations  </w:t>
        <w:br/>
        <w:t xml:space="preserve">(497) The allegations of MSD regarding the lack of suitability of the conduct to trigger the effects of halting the marketing of the INSUD ring cannot prosper.  </w:t>
        <w:br/>
        <w:t xml:space="preserve">(498) In this regard, it is necessary to reiterate that the acceptance of the request for precautionary measures affected EXELTIS and LEÓN FARMA, with the latter being responsible for the centralized and exclusive manufacturing of the “Anillo LF”, commercially named “Ornibel”. Therefore, in contrast to what MSD claims, the partial acceptance of the precautionary measures effectively resulted in the halt of the manufacturing, distribution, and marketing of the product from INSUD PHARMA, not only in Spain but also throughout the rest of Europe.  </w:t>
        <w:br/>
        <w:t xml:space="preserve">(499) MSD insists that it requested the judge to prohibit the export of the product, but such a request was not favorably received, as the order for precautionary measures did not prohibit exportation. This allegation is completely nonsensical, as the judge cannot prohibit the export of the product, since exportation, by provision of the LP, is outside the scope of the ius prohibendi (as Article 52.1.b of the LP does not include exportation among the acts that the patent holder can prohibit). Therefore, the fact that the order did not prohibit exportation does not seem to be due in this case to a completely free and discretionary decision of the judge, but rather to a legal provision.  </w:t>
        <w:br/>
        <w:t xml:space="preserve">(500) To this, it should be added that, although the order authorizing precautionary measures does not include the prohibition of the export of the contraceptive ring from INSUD PHARMA, the halt of its manufacturing by LEÓN FARMA logically implied the halt of exportation, without prejudice to the fact that the stored products available were sold both by the manufacturer and by its clients. Therefore, given that the only factory where the product from INSUD PHARMA is manufactured is located in Spain, it is evident that the prohibition of manufacturing has an equivalent effect to the prohibition of exporting.  </w:t>
        <w:br/>
        <w:t xml:space="preserve">(501) On the other hand, regarding the delay in the manufacturing and marketing of its ring solely attributable to INSUD PHARMA due to manufacturing and quality defects that led to the product recall, it should be noted that this issue has already been analyzed by the DC in its proposal for resolution, which indicated that the information provided by MSD refers to product recalls that took place between the years 2019 and 2020, that is, on dates subsequent to the lifting of the precautionary measures.  </w:t>
        <w:br/>
        <w:t xml:space="preserve">(502) As for the possibility that the quality issues mentioned date back to earlier years, this Chamber considers that, regardless of whether this was the case, these facts have no direct relation to the delay in the manufacturing of the INSUD PHARMA ring in 2017, since the product recalls due to quality issues occurred in later years, irrespective of whether the quality problems had existed before.  </w:t>
        <w:br/>
        <w:t xml:space="preserve">(503) Therefore, this Chamber considers that there is credible evidence of a direct relationship between the delay in the market penetration of Ornibel and the legal actions undertaken by MSD. In this regard, it is appropriate to bring up various internal documents collected during the inspection, cited in paragraph (247) where MSD states that [CONFIDENTIAL].  </w:t>
        <w:br/>
        <w:t xml:space="preserve">V.3.G. Single infringement and duration of the conduct  </w:t>
        <w:br/>
        <w:t xml:space="preserve">Proposal of the instructing body  </w:t>
        <w:br/>
        <w:t xml:space="preserve">(504) The DC classified the conduct as a single and ongoing infringement of abuse of dominant position “through the implementation of a strategy of anticompetitive legal actions aimed at delaying and hindering the entry into the market of products manufactured by INSUD PHARMA.”  </w:t>
        <w:br/>
        <w:t xml:space="preserve">(505) The DC considered various elements as part of the strategy constituting the infringement, starting with the existence of certain handwritten notes from the legal director of MSD dated March 7, 2013, including other handwritten notes, the development of a strategy to protect its product, the organization of preparatory meetings to formulate a legal claim, and the initiation of a legal proceeding for alleged infringement of its patent in which it obtained precautionary measures inaudita parte. The DC considered that the conduct ended on April 9, 2018, the expiration date of MSD's patent.  </w:t>
        <w:br/>
        <w:t xml:space="preserve">Reclassification of the conduct by this Chamber  </w:t>
        <w:br/>
        <w:t xml:space="preserve">(506) This Chamber, in its Reclassification Agreement of September 8, 2022, submitted to the parties a possible duration of the conduct different from that proposed by the DC, as well as a different legal qualification, in coherence with the change in duration. According to the content of the agreement of September 8, 2022, based on the new assessment made by this Chamber, it would be “a single infringement of abuse of dominant position -through the exercise of unfounded legal actions with the purpose of harassing a competitor- which begins with the submission of the request for the diligence of fact verification on June 27, 2017, and ends with the termination of the judicial proceeding due to expiration on December 4, 2020.”  </w:t>
        <w:br/>
        <w:t xml:space="preserve">Comisión Nacional de los Mercados y la Competencia 128 de 158  </w:t>
        <w:br/>
        <w:t xml:space="preserve">C/ Alcalá, 47 – 28014 Madrid - C/ Bolivia, 56 – 08018 Barcelona  </w:t>
        <w:br/>
        <w:t>www.cnmc.es</w:t>
      </w:r>
    </w:p>
    <w:p>
      <w:r>
        <w:t xml:space="preserve">S/0026/19  </w:t>
        <w:br/>
        <w:t xml:space="preserve">MERCK SHARP DOHME, S.A.  </w:t>
        <w:br/>
        <w:t xml:space="preserve">Allegations of MSD  </w:t>
        <w:br/>
        <w:t xml:space="preserve">(507) Regarding the initial moment of the infringement (dies a quo), MSD considers it inappropriate to set it on the date of the request for diligence of fact verification. It argues that “from the perspective of Articles 123 et seq. of Law 24/2015, of July 24, on Patents, such diligence of fact verification constitutes a mere preparatory mechanism for the subsequent judicial process. With the diligence of fact verification, legal actions are not exercised as such.”  </w:t>
        <w:br/>
        <w:t xml:space="preserve">(508) As for the final date of the period covered by the infringement, MSD alleges that “the factual basis on which the new accusation is intended to be founded is clearly incorrect” and in this sense contests the new duration of the conduct, considering it inappropriate to extend it beyond the expiration of the patent from which the lawsuit arises. MSD insists on its previously made allegation that the lawsuit was halted on December 4, 2018, with the active participation of both parties (including MSD), without which it would have been procedurally impossible to do so. It also points out that the Reclassification Agreement directly omits the obligation to substantiate the prior requirement of proving the existence of a dominant position for the entire period covered by the new legal qualification.  </w:t>
        <w:br/>
        <w:t xml:space="preserve">Assessment of the Chamber  </w:t>
        <w:br/>
        <w:t xml:space="preserve">(509) Prior to addressing these allegations, it should be noted that the response to these allegations is somewhat complex. The duration of the abusive conduct must be linked to the legal actions that MSD undertook against INSUD PHARMA from its dominant position and exercising its patent right abusively. This requires specifying the start and end moments of the conduct taking into account all these elements.  </w:t>
        <w:br/>
        <w:t xml:space="preserve">(510) In any case and, as will be stated later, the duration is not a key element in this case that should condition the sanction to be imposed on MSD, as this Chamber, in the exercise of its discretion, has deemed it appropriate to assess other factors as particularly relevant for imposing the sanction and, above all, the effects that its conduct has had on the market.  </w:t>
        <w:br/>
        <w:t xml:space="preserve">(511) After analyzing MSD's allegations, this Chamber considers that the infringement would have begun on June 27, 2017, the date of the request for the diligence of fact verification. This conclusion is not impeded by the fact that the judicial procedure does not formally begin on this date. Considering the accredited and assessed facts in this resolution, the request for the diligence of fact verification was a key element for the court to grant the requested precautionary measures. The deception by MSD began then,  </w:t>
        <w:br/>
        <w:t xml:space="preserve">Comisión Nacional de los Mercados y la Competencia 129 de 158  </w:t>
        <w:br/>
        <w:t xml:space="preserve">C/ Alcalá, 47 – 28014 Madrid - C/ Bolivia, 56 – 08018 Barcelona  </w:t>
        <w:br/>
        <w:t>www.cnmc.es</w:t>
      </w:r>
    </w:p>
    <w:p>
      <w:r>
        <w:rPr>
          <w:b/>
        </w:rPr>
        <w:t>[Pages 130–132]</w:t>
      </w:r>
    </w:p>
    <w:p>
      <w:r>
        <w:t xml:space="preserve">S/0026/19  </w:t>
        <w:br/>
        <w:t xml:space="preserve">MERCK SHARP DOHME, S.A.  </w:t>
        <w:br/>
        <w:t xml:space="preserve">as already stated in paragraphs (358) and following of this resolution to which reference can be made.  </w:t>
        <w:br/>
        <w:t xml:space="preserve">This conclusion is corroborated by the LP itself, as already mentioned in paragraphs (56) and following of this resolution, which considers the DCH as a preparatory action (and therefore, instrumental) for the future action that is undertaken.  </w:t>
        <w:br/>
        <w:t xml:space="preserve">(512) Secondly, regarding the dies ad quem, the final moment of the infringement, this Chamber considers that it is appropriate to positively accept the allegation of MSD and thus proceed to set the end date of the infringement as April 9, 2018, coinciding with the date of the expiration of the patent.  </w:t>
        <w:br/>
        <w:t xml:space="preserve">(513) Consequently, this Chamber considers that we are faced with a single infringement of abuse of dominant position - through the exercise of unfounded legal actions with the purpose of harassing a competitor - which begins with the filing of the request for the diligence of fact verification on June 27, 2017, and ends with the expiration of the patent on April 9, 2018.  </w:t>
        <w:br/>
        <w:t xml:space="preserve">V.3.H. Guilt and individualized responsibility  </w:t>
        <w:br/>
        <w:t xml:space="preserve">General principles  </w:t>
        <w:br/>
        <w:t xml:space="preserve">(514) Article 61 of the LDC establishes that the infringing subjects are natural or legal persons who carry out the actions or omissions classified as infringements in the LDC. In its second section, it indicates that "The actions of a company are also attributable to the companies or persons that control it, except when its economic behavior is not determined by any of them."  </w:t>
        <w:br/>
        <w:t xml:space="preserve">(515) The above has been reiterated through numerous resolutions from both the TDC318 and the CNC319, establishing for these purposes that the relevant criterion is the existence of control, that is, the possibility of exercising decisive influence over the subsidiary regardless of the means used, even in cases where such control has not been effectively exercised.  </w:t>
        <w:br/>
        <w:t xml:space="preserve">(516) This doctrine has been confirmed among others, by the Judgment of the Provincial Court of Madrid, Section 28, dated October 23, 2008, Sogecable (Appeal 318 RRTDC of July 6, 200, Medical Insurances Vizcaya; of April 18, 2001, Radio Fórmula, of February 13, 2003 Cementeras Puerto Bilbao; of March 1, 2007 Prepaid Cards Telefónica, of June 16, 2005 Gas natural.  </w:t>
        <w:br/>
        <w:t xml:space="preserve">319 RRCNC of September 8, 2020 Navieras Línea Cabotaje Ceuta- Algeciras (Expte. S/008008), of January 21, 2010 Manufacturers of Gels (Expte. S/0084/08); of March 2, 2011 Professional Hairdressing (Expte S/0086/08) and January 26, 2010 Abertis/ Tradia (Expte. SNC/003/09).  </w:t>
        <w:br/>
        <w:t xml:space="preserve">S/0026/19  </w:t>
        <w:br/>
        <w:t xml:space="preserve">MERCK SHARP DOHME, S.A.  </w:t>
        <w:br/>
        <w:t xml:space="preserve">559/2007) which reiterates the principles established in the matter by community jurisprudence320 under which the attribution to the parent company of the anti-competitive conduct of a subsidiary is motivated by the criterion of economic unity.  </w:t>
        <w:br/>
        <w:t xml:space="preserve">(517) In this sense, reiterated jurisprudence of the CJEU321 has pointed out on different occasions that:  </w:t>
        <w:br/>
        <w:t xml:space="preserve">"According to established jurisprudence, the behavior of a subsidiary can be attributed to the parent company, in particular, when, although it has separate legal personality, that subsidiary does not autonomously determine its behavior in the market but essentially applies the instructions given by the parent company (...) taking into account specifically the economic, organizational, and legal links that unite those two legal entities (...).  </w:t>
        <w:br/>
        <w:t xml:space="preserve">In such a situation, the parent company and its subsidiary are part of the same economic unit and, therefore, constitute a single company (...).  </w:t>
        <w:br/>
        <w:t xml:space="preserve">In the particular case where a parent company participates in 100% of the capital of its subsidiary that has infringed community law (...) there is a presumption iuris tantum that the parent company effectively exercises decisive influence over the behavior of its subsidiary.  </w:t>
        <w:br/>
        <w:t xml:space="preserve">In these circumstances, it is sufficient for the Commission to prove that the parent company of a subsidiary owns all of its capital to presume that it exercises decisive influence over the commercial policy of that subsidiary."  </w:t>
        <w:br/>
        <w:t xml:space="preserve">(518) Likewise, and according to the most recent jurisprudence of the CJEU322, the presumption iuris tantum that the parent company exercises decisive control over its subsidiary when it holds 100% of the share capital is not only accepted, but even a financial investor can exercise such control if it holds 100% of the voting rights, even if it does not own 100% of the share capital during the period of infringement considered.  </w:t>
        <w:br/>
        <w:t xml:space="preserve">Application to this case  </w:t>
        <w:br/>
        <w:t xml:space="preserve">(519) The facts established in this resolution account for the existence of a strategy developed by MERCK SHARP DOHME DE ESPAÑA, S.A. (MSD) consisting of filing legal actions in Spain aimed at  </w:t>
        <w:br/>
        <w:t xml:space="preserve">320 Judgment of the Court of Justice of November 25, 1971, Béguelin Import Co. v. S.A.G.L. Import Export, Case 22-71, Request for a preliminary ruling, EU:C:1971:113; of July 14, 1972, ACNA and others AS Case 57-69, EU:C:1972:78; of March 6, 1974, Commercial Solvents, EU:C:1974:18; of November 21, 1973, Europemballage and Continental Can, Case 6-72, EU:C:1973:22; of October 31, 1974, Case 15-74 Centrafarm, EU:C:1974:114; of May 4, 1988, Bodsom, of July 12, 1984, Case 30/87 Hydrotherm, EU:C:1988:225, and of October 8, 2008, Schunk GmbH and Schunk Kohlenstoff- Tecnich GmbH, Case T-69/04,  </w:t>
        <w:br/>
        <w:t xml:space="preserve">321 See the Judgment of the Court of Justice of September 10, 2009, Akzo Nobel NV and Others v Commission in Case C-97/08 Akzo Nobel, EU:C:2009:536; Judgment of the Court of Justice of January 20, 2011 in Case C-90/09 Repsol, EU:C:2011:21  </w:t>
        <w:br/>
        <w:t xml:space="preserve">322 Judgment of the Court of Justice of the EU of January 27, 2021, The Goldman Sachs Group Inc. v. Commission, Case C‑595/18 P, EU:C:2021:73.  </w:t>
        <w:br/>
        <w:t xml:space="preserve">S/0026/19  </w:t>
        <w:br/>
        <w:t xml:space="preserve">MERCK SHARP DOHME, S.A.  </w:t>
        <w:br/>
        <w:t xml:space="preserve">delaying and hindering the entry into the market of the drugs manufactured by INSUD PHARMA.  </w:t>
        <w:br/>
        <w:t xml:space="preserve">(520) Specifically, the established practice is categorized as an abuse of the judicial process, consisting, in this case, of filing anti-competitive legal actions in different European jurisdictions, and specifically, in Spain, with an anti-competitive intent, justified by an alleged infringement of the patent that protected the manufacture of Nuvaring, by the combined hormonal contraceptive vaginal ring manufactured by INSUD PHARMA - called Ornibel or "Anillo LF".  </w:t>
        <w:br/>
        <w:t xml:space="preserve">(521) Regarding the duration of the responsibility, the abuse of dominant position - through the exercise of unfounded legal actions with the purpose of harassing a competitor - began with the filing of the request for the diligence of fact verification on June 27, 2017, and ended with the expiration of the patent on April 9, 2018.  </w:t>
        <w:br/>
        <w:t xml:space="preserve">(522) Below, the individualized responsibility of each of the involved companies is detailed.  </w:t>
        <w:br/>
        <w:t xml:space="preserve">V.3.H.b.i. Responsibility of MERCK SHARP DOHME DE ESPAÑA, S.A.  </w:t>
        <w:br/>
        <w:t xml:space="preserve">(523) As previously explained, MERCK SHARP &amp; DOHME DE ESPAÑA, S.A. (MSD) markets Nuvaring in Spain as a licensee (license number 201730012) of the European patent whose holder is MERCK SHARP &amp; DOHME, BV.323  </w:t>
        <w:br/>
        <w:t xml:space="preserve">(524) MERCK SHARP &amp; DOHME DE ESPAÑA, S.A has been the holder of the license of the first combined hormonal contraceptive vaginal ring in the Spanish market,324 whose marketing was authorized in February 2002325 by the AEMPS under the commercial name "Nuvaring 0.120 mg/0.015 mg every 24 hours, vaginal release system." As a licensee, according to the article  </w:t>
        <w:br/>
        <w:t xml:space="preserve">(525) Therefore, it is considered that the abusive behaviors described are attributable for their direct participation to MERCK SHARP DOHME DE ESPAÑA, S.A. (MSD) which filed the legal actions based on the fictitious defense of its rights  </w:t>
        <w:br/>
        <w:t xml:space="preserve">323 European Patent EP 876815B1, provided by INSUD PHARMA (folios 419 to 428). The European Patent was subsequently validated and published by the Spanish Patent and Trademark Office in the name of MERCK SHARP &amp; DOHME BV with publication number ES 2.171.283 T3.  </w:t>
        <w:br/>
        <w:t xml:space="preserve">324 The Spanish patent for Nuvaring is 2171283, a translation of the one registered with the European Patent Office. The European Patent was subsequently validated and published by the Spanish Patent and Trademark Office in the name of MERCK SHARP &amp; DOHME BV with publication number ES 2.171.283 T3.  </w:t>
        <w:br/>
        <w:t>325 Information from the website: https://cima.aemps.es/cima/publico/lista.html</w:t>
      </w:r>
    </w:p>
    <w:p>
      <w:r>
        <w:rPr>
          <w:b/>
        </w:rPr>
        <w:t>[Pages 133–135]</w:t>
      </w:r>
    </w:p>
    <w:p>
      <w:r>
        <w:t xml:space="preserve">S/0026/19  </w:t>
        <w:br/>
        <w:t xml:space="preserve">MERCK SHARP DOHME, S.A.  </w:t>
        <w:br/>
        <w:t xml:space="preserve">of the patent, with the real objective of delaying the marketing of the competing product in the market.  </w:t>
        <w:br/>
        <w:t xml:space="preserve">(526) As noted in paragraph (21) of this Resolution, the ring from INSUD PHARMA is manufactured only in Spain,326 so the legal actions regarding the alleged infringement of the Nuvaring patent were executed from Spain by the legal department of MSD, as demonstrated by the handwritten notes of the director of that department327 and the legal actions filed before Commercial Court No. 5 of Barcelona.  </w:t>
        <w:br/>
        <w:t xml:space="preserve">(527) Thanks to the legal actions taken in Spain, MSD managed to halt the manufacturing of the INSUD PHARMA ring, as well as its marketing, not only at the national level, since production is centralized in the facilities of its subsidiary in the province of León, Spain, but also at the European level, as it could not be exported either. The effects of this halt extended over time, in accordance with what is indicated in section V.3.F of this resolution.  </w:t>
        <w:br/>
        <w:t xml:space="preserve">(528) Therefore, the direct responsibility of MERCK SHARP &amp; DOHME DE ESPAÑA, S.A. (MSD) has been established for its participation in the practices accredited as abuse of a dominant position prohibited by Article 2 of the LDC and Article 102 of the TFEU between June 27, 2017, and April 9, 2018.  </w:t>
        <w:br/>
        <w:t xml:space="preserve">V.3.H.b.ii Joint Liability of MSD HUMAN HEALTH HOLDING, B.V.  </w:t>
        <w:br/>
        <w:t xml:space="preserve">(529) MERCK SHARP &amp; DOHME DE ESPAÑA, S.A., and its European parent company, MSD HUMAN HEALTH HOLDING, B.V., constitute a single economic unit given the percentage of participation of the parent company in the share capital of the subsidiary of 100%, which gives it decisive influence over MERCK SHARP &amp; DOHME DE ESPAÑA, S.A., determining the main commercial and strategic decisions that it may adopt according to the instructions given.  </w:t>
        <w:br/>
        <w:t xml:space="preserve">(530) Therefore, MSD HUMAN HEALTH HOLDING, B.V. is jointly liable for its participation in a very serious infringement constituting abuse of a dominant position prohibited by Articles 2 of the LDC and 102 of the TFEU between June 27, 2017, and April 9, 2018.  </w:t>
        <w:br/>
        <w:t xml:space="preserve">(531) The joint liability of MSD HUMAN HEALTH HOLDING, B.V. is reinforced by the fact that the legal actions were undertaken jointly by MSD HUMAN HEALTH HOLDING, B.V. and MERCK SHARP &amp; DOHME DE ESPAÑA, S.A.328, making it jointly responsible for its participation in the very serious infringement constituting abuse of a dominant position prohibited by Articles 2 of the LDC and 102 of the TFEU being adjudicated here.  </w:t>
        <w:br/>
        <w:t xml:space="preserve">V.3.I. AFFECTATION TO TRADE BETWEEN MEMBER STATES  </w:t>
        <w:br/>
        <w:t xml:space="preserve">General Principles  </w:t>
        <w:br/>
        <w:t xml:space="preserve">(532) Article 102 of the TFEU establishes that “[...] The exploitation of a dominant position in the common market or in a substantial part of it by one or more undertakings shall be incompatible with the common market and shall be prohibited in so far as it may affect trade between Member States [...]”.  </w:t>
        <w:br/>
        <w:t xml:space="preserve">(533) The criterion of affecting trade between Member States also determines the scope of application of Article 3 of Regulation 1/2003 concerning the application of the competition rules provided for in Articles 81 and 82 of the Treaty (now Articles 101 and 102 of the TFEU).329  </w:t>
        <w:br/>
        <w:t xml:space="preserve">(534) According to paragraph 1 of Article 3 of Council Regulation No. 1/2003, when the competition authorities and the courts of the Member States apply national competition law to conduct covered by Article 102 of the TFEU that may affect trade between Member States, they must also apply Article 102 TFEU.  </w:t>
        <w:br/>
        <w:t xml:space="preserve">(535) According to the Commission's Communication “Guidelines on the concept of effect on trade contained in Articles 81 and 82 of the Treaty” (now Articles 101 and 102 of the TFEU)330, three elements must be considered to assess the application of the effect on trade between Member States: 1) the concept of “trade between Member States,” 2) the notion of “may affect,” and 3) the concept of “appreciability.”  </w:t>
        <w:br/>
        <w:t xml:space="preserve">(536) The aforementioned Commission Communication establishes that the concept of “trade” is not limited to traditional cross-border exchanges of goods and services, but is broader, encompassing “all cross-border economic activity”331. In this sense, paragraph 22 of that Communication states that “the application of the criterion of effect on trade is independent of the definition of the relevant geographic markets and that trade between Member States may also be affected even if the relevant market is national or subnational.”  </w:t>
        <w:br/>
        <w:t xml:space="preserve">(537) The Court of Justice332 has ruled in this regard, stating that it is not necessary for an anticompetitive practice to have a cross-border dimension to consider that intra-community trade is affected, emphasizing that a collusive practice that extends throughout the territory of a Member State, as is the case here, has the effect of consolidating national compartmentalizations and is likely to hinder the economic interpenetration pursued by the TFEU.  </w:t>
        <w:br/>
        <w:t xml:space="preserve">The aforementioned Communication from the European Commission333 indicates that the notion of “may affect” consists of defining the nature of the necessary impact on trade between Member States. According to the analytical model developed by the Court of Justice, this notion implies, in turn, that it must be possible to foresee334: a) with a sufficient degree of probability, according to a group of objective factors of law or fact, b) that the agreement or practice may have an influence on the trade flows between Member States c) direct or indirect, actual or potential.  </w:t>
        <w:br/>
        <w:t xml:space="preserve">(538) Regarding the concept of “appreciability,” according to the aforementioned Communication from the European Commission,335 it can be assessed considering the position and importance that the respective companies have in the market for the products in question. Thus, the assessment of the appreciability of the affectation depends on the circumstances of each case, in particular “on the nature of the agreement or practice, the nature of the products in question, and the  </w:t>
        <w:br/>
        <w:t xml:space="preserve">331 Paragraph 19 of the Commission Communication Guidelines on the concept of effect on trade contained in Articles 81 and 82 of the Treaty (2004/C 101/07) (Official Journal No. C 101 of 27/04/2004 p. 0081 – 0096).  </w:t>
        <w:br/>
        <w:t xml:space="preserve">332 Judgment of the CJEU of February 19, 2002, J.C.J. Wouters and others vs Algemene Raad van de Nederlandse Orde van Advocaten, Case C-309/99, ECLI:EU:C:2002:98  </w:t>
        <w:br/>
        <w:t xml:space="preserve">333 Paragraphs 23 and 24 of the Commission Communication Guidelines on the concept of effect on trade contained in Articles 81 and 82 of the Treaty (2004/C 101/07) (Official Journal No. C 101 of 27/04/2004 p. 0081 – 0096).  </w:t>
        <w:br/>
        <w:t xml:space="preserve">334 Judgment of July 14, 1981, Case 172/80 Züchner, EU:C:1981:178, and Judgment of December 14, 1983, Cases 319/82, Kerpen and Kerpen, EU:C:1983:374; Judgment of December 10, 1985 in the joined cases 240/82 and others, Stichting Sigarettenindustrie, EU:C:1985:488, paragraph 48; and Judgment of March 15, 2000 in the joined cases T-25/95 and others, Cimenteries CBR, EU:T:2000:77,  </w:t>
        <w:br/>
        <w:t>335 Paragraph 44 of the Commission Communication Guidelines on the concept of effect on trade contained in Articles 81 and 82 of the Treaty (2004/C 101/07) (Official Journal No. C 101 of 27/04/2004 p. 0081 – 0096).</w:t>
      </w:r>
    </w:p>
    <w:p>
      <w:r>
        <w:rPr>
          <w:b/>
        </w:rPr>
        <w:t>[Pages 136–138]</w:t>
      </w:r>
    </w:p>
    <w:p>
      <w:r>
        <w:t xml:space="preserve">S/0026/19  </w:t>
        <w:br/>
        <w:t xml:space="preserve">MERCK SHARP DOHME, S.A.  </w:t>
        <w:br/>
        <w:t xml:space="preserve">market position of the affected companies.” In such a way that, the stronger the market position of the interested companies, the more likely it is that an agreement or practice that may affect trade between Member States can do so appreciably.336 According to the Communication from the European Commission, appreciability can be measured both in absolute terms (turnover) and relative terms, comparing the position of the interested company or companies with that of other operators in the market (market share) 337.  </w:t>
        <w:br/>
        <w:t xml:space="preserve">(539) According to the aforementioned Communication, in cases where only one Member State is affected, the nature of the alleged infringement and, in particular, its tendency to close the national market constitutes a good indication of the ability of the practice to affect trade between Member States.338  </w:t>
        <w:br/>
        <w:t xml:space="preserve">(540) In this same sense, the Communication indicates that, in cases of abuse of a dominant position that encompass a single Member State, trade between Member States may be affected when a company occupying a dominant position that covers the entirety of a Member State engages in abusive exclusions. Generally, this abusive conduct will make it more difficult for competitors from other Member States to penetrate the market, in which case trade flows may be affected.  </w:t>
        <w:br/>
        <w:t xml:space="preserve">(541) Thus, as the Communication from the Commission recalls, in the Michelin case,339 the Court of Justice held that a system of loyalty discounts excluded competitors from other Member States and, therefore, affected trade within the meaning of Article 82 (now Article 102 TFEU). In the Rennet case340 the Court of Justice also held that an abuse in the form of an exclusive purchasing obligation imposed on customers excluded products from other Member States.  </w:t>
        <w:br/>
        <w:t xml:space="preserve">336 Paragraph 45 of the Commission Communication Guidelines on the concept of effect on trade contained in Articles 81 and 82 of the Treaty (2004/C 101/07) (Official Journal No. C 101 of 27/04/2004 p. 0081 – 0096).  </w:t>
        <w:br/>
        <w:t xml:space="preserve">337 Paragraph 47 of the Commission Communication Guidelines on the concept of effect on trade contained in Articles 81 and 82 of the Treaty (2004/C 101/07) (Official Journal No. C 101 of 27/04/2004 p. 0081 – 0096).  </w:t>
        <w:br/>
        <w:t xml:space="preserve">338 Paragraph 77 of the Commission Communication Guidelines on the concept of effect on trade contained in Articles 81 and 82 of the Treaty (2004/C 101/07) (Official Journal No. C 101 of 27/04/2004 p. 0081 – 0096).  </w:t>
        <w:br/>
        <w:t xml:space="preserve">339 Judgment of the Court of Justice of November 9, 1983, NV Nederlandsche Banden Industrie Michelin v. Commission of the European Communities, case 322/81, Nederlandse Banden Industrie Michelin, EU:C:1983:313.  </w:t>
        <w:br/>
        <w:t xml:space="preserve">340 Judgment of the Court of Justice of March 25, 1981, Coöperatieve Stremsel- en Kleurselfabriek v. Commission of the European Communities, case 61/80, EU:C:1981:75, paragraph 15.  </w:t>
        <w:br/>
        <w:t xml:space="preserve">S/0026/19  </w:t>
        <w:br/>
        <w:t xml:space="preserve">MERCK SHARP DOHME, S.A.  </w:t>
        <w:br/>
        <w:t xml:space="preserve">(542) Therefore, when the criteria for possible impact on trade between Member States provided for in Article 102 TFEU and developed in the European Commission's Communication on guidelines regarding the concept of effect on intra-EU trade are met,341 the application of national and European regulations must be carried out jointly.342  </w:t>
        <w:br/>
        <w:t xml:space="preserve">Application to the case  </w:t>
        <w:br/>
        <w:t xml:space="preserve">(543) In the present case, this Chamber considers that the abusive conduct committed by MSD affects trade between Member States, so Article 102 TFEU applies.  </w:t>
        <w:br/>
        <w:t xml:space="preserve">(544) First, the behaviors analyzed in this case have spread and affect the entirety of the national territory. By their very nature, an abusive practice that extends across the entire territory of a Member State is likely to hinder the economic interpenetration pursued by the TFEU.343 MSD has a proven dominant position in the Spanish market for hormonal ring contraceptives and also belongs to a large corporate group with headquarters not only in Europe but also in the U.S. and other countries.  </w:t>
        <w:br/>
        <w:t xml:space="preserve">(545) Second, MSD's anticompetitive strategy affected the marketing of INSUD PHARMA's contraceptive drug at least in Sweden, Norway, Finland, Germany, Belgium, the Czech Republic, Slovakia, Hungary, and Poland,344 thus having an appreciable effect on trade between Member States.  </w:t>
        <w:br/>
        <w:t xml:space="preserve">(546) The anticompetitive strategy developed by MSD is at least European, applicable to all markets where the contraceptive drug was present both in Europe, at least in Sweden, Norway, Finland, Germany, Belgium, the Czech Republic, Slovakia, Hungary, and Poland, as well as in Spain.  </w:t>
        <w:br/>
        <w:t xml:space="preserve">341 Communication from the Commission Guidelines on the concept of effect on trade contained in Articles 81 and 82 of the Treaty (2004/C 101/07) (Official Journal No. C 101 of 27/04/2004 p. 0081 – 0096).  </w:t>
        <w:br/>
        <w:t xml:space="preserve">342 See, among others, the Judgment of the Court of Justice (Grand Chamber) of February 14, 2012, Toshiba Corporation and others v. Úřad pro ochranu hospodářské soutěže, case C‑17/10, ECLI:EU:C:2012:72, and Article 3 of Regulation 1/2003.  </w:t>
        <w:br/>
        <w:t xml:space="preserve">343 Judgment of the CJEU of February 19, 2002, J.C.J. Wouters and others v. Algemene Raad van de Nederlandse Orde van Advocaten, case C-309/99, EU:C:2002:98.  </w:t>
        <w:br/>
        <w:t xml:space="preserve">344 Exeltis Sverige for Sweden, Norway, and Finland; Exeltis Germany for Germany and Belgium; Exeltis Czech Republic; Exeltis Slovakia; Exeltis Hungary and Exeltis Poland; as well as the external marketing companies with which Insud Pharma had contracted the supply of the ring through the corresponding licensing agreement: Adamed, Aristo, Heaton, Polpharma, Mylan, Sandoz, Farmitalia, and Hexal.  </w:t>
        <w:br/>
        <w:t xml:space="preserve">S/0026/19  </w:t>
        <w:br/>
        <w:t xml:space="preserve">MERCK SHARP DOHME, S.A.  </w:t>
        <w:br/>
        <w:t xml:space="preserve">(547) The contacts between MSD and INSUD PHARMA in 2014 and 2015 occurred with the American parent company, MERCK &amp; CO., INC.  </w:t>
        <w:br/>
        <w:t xml:space="preserve">(548) The patent infringement lawsuit in the litigation in which precautionary measures were granted inaudita parte (P.O. 825/2017) was jointly filed by MERCK SHARP &amp; DOHME DE ESPAÑA, S.A., MERCK SHARP &amp; DOHME BV, and MERCK &amp; CO INC; and the abusive procedural strategy would have benefited the entire set of European subsidiaries of MSD HUMAN HEALTH HOLDING, B.V., since the requested precautionary measures prevented the manufacture and marketing of the product throughout Europe, at least in Sweden, Norway, Finland, Germany, Belgium, the Czech Republic, Slovakia, Hungary, and Poland, allowing them to continue marketing Nuvaring under more advantageous conditions during that period.  </w:t>
        <w:br/>
        <w:t xml:space="preserve">(549) Although the Order prohibited manufacturing, it did not prohibit export - as requested by the plaintiffs - in practice, INSUD PHARMA could only export the stock it had already manufactured as of September 27, 2017, but could not continue manufacturing and, consequently, could not meet orders, and the planned launches in various countries were delayed.  </w:t>
        <w:br/>
        <w:t xml:space="preserve">(550) Therefore, given that the practices under analysis have a supranational scope, extending the affected market to at least the entire national territory and the markets of Sweden, Norway, Finland, Germany, Belgium, the Czech Republic, Slovakia, Hungary, and Poland, it must be understood that the practices subject to this file are likely to appreciably affect trade between Member States of the European Union, as they did, and therefore are likely to infringe Article 102 TFEU.  </w:t>
        <w:br/>
        <w:t xml:space="preserve">V.4. [FOURTH] Response of the Chamber to other allegations  </w:t>
        <w:br/>
        <w:t xml:space="preserve">(551) In this section, the allegations of MSD to the PR that have not been addressed in the previous sections will be answered.  </w:t>
        <w:br/>
        <w:t xml:space="preserve">V.4.A. [FIRST] On the improper incorporation into the file of documentation constituting professional secrecy  </w:t>
        <w:br/>
        <w:t>(552) MSD alleges that the handwritten notes of its Legal Director [CONFIDENTIAL] are protected by attorney-client privilege, as expressly stated at the end of those notes, where it says “all --- (illegible)--- privilege.” According to MSD's allegations: “this implies that this controversial documentation should not have been used during the instruction of the File at least until the National Court rules on the merits of the matter, something that has not occurred to date.”</w:t>
      </w:r>
    </w:p>
    <w:p>
      <w:r>
        <w:rPr>
          <w:b/>
        </w:rPr>
        <w:t>[Pages 139–141]</w:t>
      </w:r>
    </w:p>
    <w:p>
      <w:r>
        <w:t xml:space="preserve">S/0026/19  </w:t>
        <w:br/>
        <w:t xml:space="preserve">MERCK SHARP DOHME, S.A.  </w:t>
        <w:br/>
        <w:t xml:space="preserve">(553) Regarding this allegation, a clarification must be made: the annotation “all --- (illegible)--- privilege” does not appear at the end of the notes from 2013 cited in paragraph (192) of this resolution, but at the end of others from February 26, 2018345.  </w:t>
        <w:br/>
        <w:t xml:space="preserve">(554) Having made this clarification and regarding the substance of this allegation, this Chamber has already ruled on the fact that these handwritten annotations are not protected by professional secrecy in its resolution of October 6, 2020346. This resolution is based on the Judgment of the Court of Justice of the European Union dated September 14, 2010, in the case Akzo Nobel Chemicals Ltd. and others (C-550/07 P), - ECLI:EU:C:2010:512, in which the CJEU denied the extension of the legal privilege prerogative to communications between the company and the in-house lawyer, due to the lesser degree of independence of the latter with respect to his employer.  </w:t>
        <w:br/>
        <w:t xml:space="preserve">(555) MSD has filed an appeal against that resolution, and has even requested its precautionary suspension, but such suspension has not been granted by the judicial body, so, as it is enforceable, there is no reason to remove this document from the file. The CNMC has complied with the precautionary measure ordered by the order of July 29, 2021, which orders certain documents to be considered confidential on a precautionary basis.347  </w:t>
        <w:br/>
        <w:t xml:space="preserve">(556) In any case, even if the contentious-administrative appeal that MSD has filed against the resolution of this Chamber of October 6, 2020 were to succeed, the withdrawal of this evidentiary element would lack significance for the purposes of proving the facts that are considered proven here, since the incriminating evidence on which this resolution is based and its incorporation into the file have not been questioned by MSD.  </w:t>
        <w:br/>
        <w:t xml:space="preserve">V.4.B. [SECOND] Regarding the complainant's reasons for filing his complaint (spurious purpose)  </w:t>
        <w:br/>
        <w:t xml:space="preserve">(557) MSD alleges that INSUD only seeks to gain publicity within the generic lobby and to pressure MSD with a compensation claim.  </w:t>
        <w:br/>
        <w:t xml:space="preserve">(558) This allegation cannot be favorably received, since regardless of the source of information that the DC has to initiate a file, the decision to initiate a sanctioning procedure is always adopted ex officio, as proclaimed by Article 62.1 of Law 39/2015, of October 1,  </w:t>
        <w:br/>
        <w:t xml:space="preserve">345 Folio 1.362.  </w:t>
        <w:br/>
        <w:t xml:space="preserve">346 https://www.cnmc.es/expedientes/raj06620.  </w:t>
        <w:br/>
        <w:t xml:space="preserve">347 Order of July 29, 2021, of the Audiencia Nacional issued in the separate piece of precautionary measures of procedure 1303/2020.  </w:t>
        <w:br/>
        <w:t xml:space="preserve">Comisión Nacional de los Mercados y la Competencia 139 de 158  </w:t>
        <w:br/>
        <w:t xml:space="preserve">C/ Alcalá, 47 – 28014 Madrid - C/ Bolivia, 56 – 08018 Barcelona  </w:t>
        <w:br/>
        <w:t>www.cnmc.es</w:t>
      </w:r>
    </w:p>
    <w:p>
      <w:r>
        <w:t xml:space="preserve">S/0026/19  </w:t>
        <w:br/>
        <w:t xml:space="preserve">MERCK SHARP DOHME, S.A.  </w:t>
        <w:br/>
        <w:t xml:space="preserve">of the Common Administrative Procedure of Public Administrations. Therefore, the complainant's reasons are completely irrelevant.  </w:t>
        <w:br/>
        <w:t xml:space="preserve">V.4.C. [THIRD] Regarding the request for a hearing  </w:t>
        <w:br/>
        <w:t xml:space="preserve">(559) MSD has requested the holding of an oral hearing in application of Article 51.3 of the LDC. The request has been made at two different times: in the allegations to the proposed resolution and in the allegations to the reclassification agreement.  </w:t>
        <w:br/>
        <w:t xml:space="preserve">(560) In this regard, it should be noted that the oral hearing before the Council Chamber, which is provided for in Article 51.3 of the LDC, is configured as a discretionary power of the Council, which may agree to it “when it considers it appropriate for the analysis and judgment of the object of the file” (art. 19.1 RDC).  </w:t>
        <w:br/>
        <w:t xml:space="preserve">(561) This Chamber, taking into account the discretionary nature of the oral hearing and the clarity of the evidentiary burden in the file, has decided not to grant the request for a hearing as it does not consider it necessary for the assessment of the matter, given the occasions that the companies have had to assert their claims, without this denial leading to any kind of defenselessness.  </w:t>
        <w:br/>
        <w:t xml:space="preserve">V.4.D. [FOURTH] Regarding the declaration of confidentiality  </w:t>
        <w:br/>
        <w:t xml:space="preserve">(562) MSD has expressly requested the confidentiality of certain information provided in its written allegations to the proposed resolution or cited therein, providing a new non-confidential version of the allegations in which it has removed some of these elements.  </w:t>
        <w:br/>
        <w:t xml:space="preserve">(563) The request for confidentiality extends to the document “Compliance Program” that MSD has348.  </w:t>
        <w:br/>
        <w:t xml:space="preserve">(564) This Chamber, after analyzing the aforementioned information, considers that it contains commercial and strategic data of the company that deserve to be regarded as confidential information. Furthermore, the elements cited in its written allegations have already been declared confidential throughout the processing of this file. Therefore, the written allegations and the cited document are declared confidential.  </w:t>
        <w:br/>
        <w:t xml:space="preserve">V.4.E. Regarding the requests for the practice of evidence  </w:t>
        <w:br/>
        <w:t xml:space="preserve">(565) Article 51.1 of the LDC provides that the Council of the CNMC may order, ex officio or at the request of any interested party, the practice of evidence other than that already practiced in the instruction phase before the DC, as well as the carrying out of  </w:t>
        <w:br/>
        <w:t xml:space="preserve">348 Folios 10.843 – 10.845.  </w:t>
        <w:br/>
        <w:t xml:space="preserve">Comisión Nacional de los Mercados y la Competencia 140 de 158  </w:t>
        <w:br/>
        <w:t xml:space="preserve">C/ Alcalá, 47 – 28014 Madrid - C/ Bolivia, 56 – 08018 Barcelona  </w:t>
        <w:br/>
        <w:t>www.cnmc.es</w:t>
      </w:r>
    </w:p>
    <w:p>
      <w:r>
        <w:t xml:space="preserve">S/0026/19  </w:t>
        <w:br/>
        <w:t xml:space="preserve">MERCK SHARP DOHME, S.A.  </w:t>
        <w:br/>
        <w:t xml:space="preserve">complementary actions in order to clarify specific issues for the formation of its judgment in the decision-making process.  </w:t>
        <w:br/>
        <w:t xml:space="preserve">(566) This Chamber considers it pertinent to incorporate into the file all the new documents provided by the parties along with their written allegations to the proposed resolution, although these documents do not add value regarding the information that was already in the file and on which the facts subject to investigation and the charges made against the entities involved have been considered proven, so they lack the potential to modify the assessment made by the DC, which this Chamber shares in the terms indicated in the fifth foundation.  </w:t>
        <w:br/>
        <w:t xml:space="preserve">V.4.F. Regarding the alleged nullity of the agreement of this Chamber of June 22, 2022, by which the European Commission was notified of the Proposal for Resolution  </w:t>
        <w:br/>
        <w:t xml:space="preserve">(567) MSD alleges that the agreement of June 22, 2022, by which the Competition Chamber of the Council of the CNMC agreed to send information to the European Commission as provided by Article 11.4 of Regulation 1/2003 is invalid for violating Articles 11.4 of Regulation 1/2003 and 51 LDC. It argues that this notification to the Commission should have occurred after the adoption of the reclassification agreement, since after the reclassification there has been what MSD calls a “radical change in the qualification of the conduct.” According to its allegation, since the agreement of June 22 is invalid, it cannot be attributed the suspensive effects that are inherent to it, so the expiration of the sanctioning procedure would have occurred in accordance with the provisions of art. 38.1 LDC.  </w:t>
        <w:br/>
        <w:t xml:space="preserve">(568) It should be noted Article 11.4 of Regulation 1/2003, which states:  </w:t>
        <w:br/>
        <w:t xml:space="preserve">“At the latest 30 days before the adoption of a decision ordering the cessation of an infringement, accepting commitments, or withdrawing the coverage of a block exemption regulation, the competent authorities of the Member States shall inform the Commission thereof. To this end, they shall provide a summary of the matter and the text of the proposed decision or, in the absence thereof, any other document indicating the proposed course of action.  </w:t>
        <w:br/>
        <w:t xml:space="preserve">This information may also be made available to the competition authorities of other Member States. At the request of the Commission, the competition authority responsible for the matter shall make available to the Commission other documents in its possession that are necessary to assess the matter. The information provided to the Commission may be made available to the competition authorities of other Member States. National competition authorities may also exchange the necessary information to assess the matter they are investigating under Articles 81 or 82 of the Treaty.”  </w:t>
        <w:br/>
        <w:t xml:space="preserve">Comisión Nacional de los Mercados y la Competencia 141 de 158  </w:t>
        <w:br/>
        <w:t xml:space="preserve">C/ Alcalá, 47 – 28014 Madrid - C/ Bolivia, 56 – 08018 Barcelona  </w:t>
        <w:br/>
        <w:t>www.cnmc.es</w:t>
      </w:r>
    </w:p>
    <w:p>
      <w:r>
        <w:rPr>
          <w:b/>
        </w:rPr>
        <w:t>[Pages 142–144]</w:t>
      </w:r>
    </w:p>
    <w:p>
      <w:r>
        <w:t xml:space="preserve">S/0026/19  </w:t>
        <w:br/>
        <w:t xml:space="preserve">MERCK SHARP DOHME, S.A.  </w:t>
        <w:br/>
        <w:t xml:space="preserve">On the other hand, Article 51.5 of the LDC states:  </w:t>
        <w:br/>
        <w:t xml:space="preserve">"The Council of the National Competition Commission, upon concluding the proceedings and, where appropriate, informing the European Commission in accordance with the provisions of Article 11.4 of Regulation (EC) No. 1/2003 of the Council, of December 16, 2002, concerning the application of the competition rules provided for in Articles 81 and 82 of the Treaty, shall issue a resolution."  </w:t>
        <w:br/>
        <w:t xml:space="preserve">(569) For the correct understanding of this communication procedure to the European Commission, it must be taken into account what is provided in Article 11.1 of Regulation 1/2003, which states that the Commission and the competition authorities of the Member States shall apply the community competition rules in close collaboration. This collaboration is necessary, as the national competition authorities of the Member States and the European Commission form a network of authorities in which all apply the same rules.  </w:t>
        <w:br/>
        <w:t xml:space="preserve">Recital 15 of Regulation 1/2003 states: "It is appropriate that the Commission and the competition authorities of the Member States jointly form a network of public authorities that apply the community competition rules in close cooperation. To this end, it is necessary to create mechanisms for information and consultation. The Commission, in close cooperation with the Member States, shall establish and review the additional details of cooperation in the network."  </w:t>
        <w:br/>
        <w:t xml:space="preserve">Recital 22 of Regulation 1/2003 indicates that, "in a system of parallel competences, contradictory decisions must be avoided in order to ensure respect for the principles of legal certainty and uniform application of community competition rules."  </w:t>
        <w:br/>
        <w:t xml:space="preserve">(570) In any network system where different authorities apply the same rules on matters of cross-border relevance, some mechanism for reciprocal communication must be articulated. This mechanism must be aimed at ensuring the coherence of the whole and avoiding contradictions and distortions in the application of community competition law. A system of these characteristics is neither unprecedented nor novel and, on the contrary, is common in other areas, including the judicial.  </w:t>
        <w:br/>
        <w:t xml:space="preserve">(571) The information procedure to the Commission provided for in Article 11.4 of Regulation 1/2003 is mandatory under community law and is incorporated into the national legal systems of the Member States in the manner provided by their respective legislation.  </w:t>
        <w:br/>
        <w:t xml:space="preserve">It is a strictly confidential procedure, with the suspensive effect attributed to it by Article 37.2.c) of the LDC, which states that the maximum period for resolving and notifying the resolution of the reference file shall be suspended: "c) When the European Commission is informed within the framework of what is provided in Article 11.4 of Regulation (EC) No. 1/2003 of the Council, of December 16, 2002, concerning the application of the competition rules provided for in Articles 81 and 82 of the Treaty with respect to a proposed resolution in application of Articles 81 and 82 of the Treaty of the European Community."  </w:t>
        <w:br/>
        <w:t xml:space="preserve">(572) Article 11.4 of Regulation 1/2003 does not imperatively require the submission of the text of the resolution, but provides that it may send this, or "any other document indicating the proposed course of action." It cannot be claimed that the requalification agreement, which essentially modifies the duration of the conduct and the imposed fine, could constitute a modification of the course of action of the CNMC in relation to this sanctioning procedure.  </w:t>
        <w:br/>
        <w:t xml:space="preserve">(573) Therefore, MSD's allegation cannot prosper since, being a strictly internal procedure, it is not up to the initiated party to suggest or propose how and when this internal communication procedure should take place. An interference by those affected in this procedure, as suggested by MSD, would be difficult to reconcile with the confidential nature of this information exchange.  </w:t>
        <w:br/>
        <w:t xml:space="preserve">V.5. [FIFTH] Determination of the sanction  </w:t>
        <w:br/>
        <w:t xml:space="preserve">V.5.A. Proposed resolution, requalification agreement, and allegations of MSD  </w:t>
        <w:br/>
        <w:t xml:space="preserve">Proposed resolution  </w:t>
        <w:br/>
        <w:t xml:space="preserve">(574) As already indicated in the First section of this Resolution, the DC proposes to specify the applicable sanctioning rate for the infringing entity at 5.5% and limits the amount of the proposed sanction to €28,100,000.  </w:t>
        <w:br/>
        <w:t xml:space="preserve">Requalification agreement  </w:t>
        <w:br/>
        <w:t xml:space="preserve">(575) The Chamber, in its requalification agreement of September 8, 2022, considers it appropriate to raise the sanctioning rate to 6.5% and modify the estimation of the illicit benefit made in the PR for the purposes of verifying whether the resulting sanction would be proportional to the infringement committed and sufficiently deterrent.  </w:t>
        <w:br/>
        <w:t xml:space="preserve">(576) On one hand, the Chamber submits to the interested parties in the Requalification Agreement a new assessment of the elements of the sanctioning rate. For this assessment of the severity of the conduct, for the purposes of determining the sanction, elements not expressed in the PR or that the Chamber values more negatively are taken into account.  </w:t>
        <w:br/>
        <w:t xml:space="preserve">(577) Among them, the significant impact on the population and the strong relationship with the protection of the general interest of the pharmaceutical products market stand out; the prolongation of the effects of abusive litigation, which would have caused the normal conditions of competition not to normalize until the first quarter of 2020; the special negative impact on the users of the product and on the distribution and sales channels or the distortion of judicial procedures and the improper use of the mechanisms of the administration of justice, to the detriment of the general interest.  </w:t>
        <w:br/>
        <w:t xml:space="preserve">(578) On the other hand, the Chamber also considers in the requalification agreement that in this case there are data in the file that allow for a precise estimation of the illicit benefit.  </w:t>
        <w:br/>
        <w:t xml:space="preserve">Allegations of MSD to the Requalification Agreement  </w:t>
        <w:br/>
        <w:t xml:space="preserve">(579) MSD alleges that the new amount of the fine proposed by the Competition Chamber "has been recalculated based on objectively erroneous elements." According to its argument, it is illogical, since, having shortened the duration of the conduct, the amount of the fine is increased.  </w:t>
        <w:br/>
        <w:t xml:space="preserve">(580) Furthermore, it considers that, to determine the amount of the sanction, the Requalification Agreement relies on incorrect and unlawful elements.  </w:t>
        <w:br/>
        <w:t xml:space="preserve">(581) Firstly, it alleges that the figure of turnover in the affected market (VNMA) that appears in the Requalification Agreement is the same as that which the DC included in the PR for a different and longer period of time.  </w:t>
        <w:br/>
        <w:t xml:space="preserve">(582) Secondly, it considers that the market shares for the new period in which the infringement is considered to have occurred are not properly analyzed.  </w:t>
        <w:br/>
        <w:t xml:space="preserve">(583) Regarding the effects, MSD alleges that the precautionary measures partially estimated by the Order of September 18, 2017, of the Commercial Court No. 5 of Barcelona never affected other countries of the European Union, since the cessation of exportation or the seizure and withdrawal of the Ornibel rings already stored was not ordered.  </w:t>
        <w:br/>
        <w:t>(584) Regarding the illicit benefit, MSD considers that, from the documentation on which the Requalification Agreement is based for its estimation, such illicit benefit cannot be substantiated and the data cited for this purpose are erroneous. Specifically, it states that the figure of [CONFIDENTIAL] million dollars refers to global sales of Nuvaring, so that even if it were assumed that the conduct had effects in the European market, it would be incorrect to use this figure. According to the company, this Chamber should resort to the VNMA figure to determine the amount of the fine proportionately, in accordance with the Provisional Guidelines on the determination of sanctions.</w:t>
      </w:r>
    </w:p>
    <w:p>
      <w:r>
        <w:rPr>
          <w:b/>
        </w:rPr>
        <w:t>[Pages 145–147]</w:t>
      </w:r>
    </w:p>
    <w:p>
      <w:r>
        <w:t xml:space="preserve">S/0026/19  </w:t>
        <w:br/>
        <w:t xml:space="preserve">MERCK SHARP DOHME, S.A.  </w:t>
        <w:br/>
        <w:t xml:space="preserve">V.5.B. Criteria for the determination of the sanction  </w:t>
        <w:br/>
        <w:t xml:space="preserve">(585) This Chamber considers that we are facing an infringement of Article 2 of the LDC, as well as Article 102 of the TFEU for abuse of dominant position -through the exercise of unfounded legal actions with the purpose of harassing a competitor- which begins with the submission of the request for the verification of facts on June 27, 2017, and ends on April 9, 2018, the date of expiration of MSD's patent.  </w:t>
        <w:br/>
        <w:t xml:space="preserve">(586) Therefore, this is a very serious infringement (art. 62.4. b of the LDC) that may be sanctioned with a fine of up to 10% of the total turnover of the infringing company in the financial year immediately preceding the imposition of the fine (art. 63.1.c), that is, 2021.  </w:t>
        <w:br/>
        <w:t xml:space="preserve">(587) In the Spanish system, sanctions must be calculated in such a way as to ensure an effective and uniform application of European competition law.349 This requires that sanctions be determined based on the criteria of severity and duration of the infringements, respecting the principles of effectiveness, proportionality to the infringement committed, and deterrence.350  </w:t>
        <w:br/>
        <w:t xml:space="preserve">(588) The ECN+ Directive expressly establishes that “(t)hese factors must be assessed in accordance with the relevant case law of the Court of Justice of the European Union and in such a way as to ensure deterrence.” Thus, Recital 47 of the aforementioned Directive states that “(t)he assessment of severity should be made on a case-by-case basis for all types of infringement, taking into account all the circumstances of the case. Among the factors that may be considered are the nature of the infringement, the combined market share of all companies involved, the geographical scope of the infringement, the fact that the infringement has been applied, the value of the sales of goods and services of the company to which the infringement refers directly or indirectly, and the size and market power of the company involved. Recidivism in infringements by the same infringer demonstrates their propensity to commit such infringements and is, therefore, a very significant indication that the level of the sanction should be high to achieve an effective deterrent effect.”  </w:t>
        <w:br/>
        <w:t xml:space="preserve">(589) Based on these premises, we proceed to assess the modulation criteria established in Article 64 LDC for determining the amount of the sanction to be imposed on the companies charged in this sanctioning file, in light of the elements contained in this file and based on the PR, the Requalification Agreement, and, in particular, the allegations made regarding it by the interested parties.  </w:t>
        <w:br/>
        <w:t xml:space="preserve">(590) Regarding the characteristics of the affected market (art. 64.1.a), the infringement would have occurred in the market for hormonal contraceptive drugs, specifically of the ring type. This is a market for pharmaceutical products with a significant impact on the population and a strong relationship with the protection of the general interest.  </w:t>
        <w:br/>
        <w:t xml:space="preserve">(591) As for the size of the affected market (art. 64.1.a), the turnover in the affected market in Spain (VNMA) during the declared period of the infringement was 20,960,860 euros. In assessing this point, part of the allegations regarding the requalification agreement made by MSD must be taken into account, which highlighted the existence of an error, as the VNMA considered in that agreement was the same as that of the PR (167,297,937.93 euros), when the duration of the infringement was different. Additionally, as the duration of the conduct is reduced in this resolution, as a result of what was alleged by MSD, the VNMA considered by this Chamber is lower than what would have been recorded in the Requalification Agreement.  </w:t>
        <w:br/>
        <w:t xml:space="preserve">(592) Regarding the market share (art. 64.1 b), until the marketing authorization of ORNIBEL in July 2017, NUVARING was the only contraceptive ring marketed in Spain, so MSD held a 100% market share from 2002 to 2017. With the exercise of legal actions in June 2017, and at least until the lifting of the precautionary measures in December 2017, MSD's share remained close to 100%. It was above 90% until June 2018, subsequently beginning a gradual decline without falling below 60% until January 2020.351  </w:t>
        <w:br/>
        <w:t xml:space="preserve">(593) Additionally, since INSUD PHARMA did not manage to restore the marketing of the product until three months after the lifting of the precautionary measures at the end of March 2018, an imbalance was generated in the market situation compared to what would have occurred under normal competitive conditions, which was not normalized until the first quarter of 2020. Therefore, MSD obtained, during the time when the production of Ornibel was affected, and for a long period thereafter, sales shares higher than what it would have corresponded to had competition been maintained.  </w:t>
        <w:br/>
        <w:t xml:space="preserve">(594) Consequently, the allegations regarding this section by MSD, which considers that the variations in its market share as a result of the variation in duration were not adequately assessed in the requalification agreement, cannot be taken into account. It is clear that MSD's market shares throughout the entire declared infringing period in this resolution, and even in the moments before and after, remained very high.  </w:t>
        <w:br/>
        <w:t xml:space="preserve">(595) The infringement would be likely to affect, geographically, the entire national territory, where the production, marketing, and sale of the Ornibel ring that should have taken place in Spain and other countries of the Union were prevented. Consequently, there is an impact on the internal market of the EU (art. 64.1.c).  </w:t>
        <w:br/>
        <w:t xml:space="preserve">(596) Regarding the duration of the conduct (art. 64.1.d), it extended, at least, from June 27, 2017, the date of submission of the request for the verification of facts, until April 9, 2018, the date of expiration of MSD's patent.  </w:t>
        <w:br/>
        <w:t xml:space="preserve">(597) This Chamber, therefore, must take into account this reduction in duration compared to that indicated in the requalification agreement in its assessment of the elements that constitute the sanctioning type.  </w:t>
        <w:br/>
        <w:t xml:space="preserve">(598) Regarding the effects of the infringement on consumers and economic operators and the illicit benefit derived from the conduct (art. 64.1.e, and 64.1 f).  </w:t>
        <w:br/>
        <w:t xml:space="preserve">(599) Through the infringing conduct, MSD managed to halt the production of the ring developed by INSUD PHARMA and its marketing in order to protect the market for its Nuvaring ring, not only at the national level but also in the European context, as the production of the INSUD PHARMA ring was centralized in the LEÓN FARMA factories in Spain.  </w:t>
        <w:br/>
        <w:t xml:space="preserve">(600) The infringement affected the pharmaceutical market and had a negative impact both on the users of the product, by limiting their ability to choose (of product and price), and on the downstream market, due to the impact it had on distribution and sales channels.  </w:t>
        <w:br/>
        <w:t>(601) It is noteworthy in this case, and the Chamber must take it into account to estimate the sanctioning type that the infringement would deserve, the fact that the conduct would have been carried out through a strategy that in itself distorts jurisdictional procedures, which are a guarantee for companies and citizens and would have constituted an improper use of the mechanisms.</w:t>
      </w:r>
    </w:p>
    <w:p>
      <w:r>
        <w:rPr>
          <w:b/>
        </w:rPr>
        <w:t>[Pages 148–150]</w:t>
      </w:r>
    </w:p>
    <w:p>
      <w:r>
        <w:t xml:space="preserve">S/0026/19  </w:t>
        <w:br/>
        <w:t xml:space="preserve">MERCK SHARP DOHME, S.A.  </w:t>
        <w:br/>
        <w:t xml:space="preserve">specific to the administration of justice, to the detriment of a general interest that cannot be compensated to society due to its severity and magnitude.  </w:t>
        <w:br/>
        <w:t xml:space="preserve">(602) It is also a behavior that is particularly difficult for the competition authority to detect. It is especially costly and problematic for competitors to prove the unjustified nature of the litigation that would constitute the infringement, given the specificity, both technical and legal, of patent infringement procedures.  </w:t>
        <w:br/>
        <w:t xml:space="preserve">(603) Furthermore, the effects of the paralysis of the production and distribution of the competitor's product resulting from the infringement extended even after such paralysis and the conclusion of the infringing conduct.  </w:t>
        <w:br/>
        <w:t xml:space="preserve">(604) These effects are observed in the maintenance of market share by MSD above what the competitive dynamics of the market would have allowed. This has generated market share and revenue retention higher than what it would have obtained according to its forecasts, as a direct consequence of the delay in the entry of generics. Retention that MSD estimates in revenue, with data from February 2018 [CONFIDENTIAL]352.  </w:t>
        <w:br/>
        <w:t xml:space="preserve">(605) At this point, it cannot be estimated that MSD's claim that the end of the effects of the infringement cannot extend beyond the date of the lifting of the precautionary measure is valid. This would imply accepting that MSD's market share in December 2017 (the time of the lifting) and in the subsequent period would have been the same had the anticompetitive action not occurred. This assessment is unacceptable, in the opinion of this Chamber, as it has been proven that MSD's market shares remained practically at 100% until the production of the competing ring was restored, three months after the lifting of the precautionary measure, and it could be made available to users in the sales channel.  </w:t>
        <w:br/>
        <w:t xml:space="preserve">(606) Consequently, the assessment of both the effects on the market and the illicit benefit obtained from the conduct must be analyzed in its temporal scope independently of the duration of the precautionary measures and the infringing conduct, as the time periods have different natures.  </w:t>
        <w:br/>
        <w:t xml:space="preserve">V.5.C. Imposed Fine  </w:t>
        <w:br/>
        <w:t xml:space="preserve">(607) Considering all these elements, this Chamber believes that the sanctioning rate corresponding to the qualified infringement should be 5.75% of the total turnover of the infringing company.  </w:t>
        <w:br/>
        <w:t xml:space="preserve">352 Folio 6.418.  </w:t>
        <w:br/>
        <w:t xml:space="preserve">Comisión Nacional de los Mercados y la Competencia 148 de 158  </w:t>
        <w:br/>
        <w:t xml:space="preserve">C/ Alcalá, 47 – 28014 Madrid - C/ Bolivia, 56 – 08018 Barcelona  </w:t>
        <w:br/>
        <w:t>www.cnmc.es</w:t>
      </w:r>
    </w:p>
    <w:p>
      <w:r>
        <w:t xml:space="preserve">S/0026/19  </w:t>
        <w:br/>
        <w:t xml:space="preserve">MERCK SHARP DOHME, S.A.  </w:t>
        <w:br/>
        <w:t xml:space="preserve">The total turnover of the infringing company in the year prior to the imposition of the sanction (2021) is €677,120,295.80.  </w:t>
        <w:br/>
        <w:t xml:space="preserve">(608) The infringing rate must be applied to the total annual turnover of the company, which is not univocally linked to the infringement committed, given that the company's activity goes beyond the manufacture of vaginal rings. Therefore, it must be verified whether the resulting sanction would be proportional to the infringement committed and sufficiently deterrent.  </w:t>
        <w:br/>
        <w:t xml:space="preserve">(609) To this end, an assessment of the illicit benefit of the company has been made, to which a deterrent factor adapted to the difficulty of detecting a conduct must be applied.  </w:t>
        <w:br/>
        <w:t xml:space="preserve">Estimation of the Illicit Benefit  </w:t>
        <w:br/>
        <w:t xml:space="preserve">(610) The impact on the market resulting from the judicial action is, in this case, largely independent of the duration of the infringement. It is the distortion generated in the market by the application of the precautionary measures that determines the substantial part of the effects of the infringement, beyond the temporal limit of the infringement, as the effects of the paralysis of production have repercussions on the evolution of the market shares of competing companies long after the precautionary measures are lifted, and during a time period established by the competitive dynamics of the market and not by this Chamber's estimation of the duration of the infringement.  </w:t>
        <w:br/>
        <w:t xml:space="preserve">(611) The file contains information on the evolution of the vaginal ring market following the exercise of judicial actions.  </w:t>
        <w:br/>
        <w:t xml:space="preserve">(612) With this information, it is possible to estimate the revenues that this evolution would have generated for MSD compared to what would have been expected had the competitive situation not been limited.  </w:t>
        <w:br/>
        <w:t xml:space="preserve">(613) Therefore, it is considered that, with the data in the file, it is possible to calculate the illicit benefit obtained by MSD as a result of its actions.  </w:t>
        <w:br/>
        <w:t xml:space="preserve">(614) The conduct resulted in the cessation of the manufacture, distribution, and sale of CHEMO's vaginal rings at least from September to December 2017. This action generated for MSD additional revenues compared to what it would have obtained had the competing ring remained in the market.  </w:t>
        <w:br/>
        <w:t xml:space="preserve">(615) These are not the only effects of the conduct that must be taken into account to estimate the illicit benefit obtained by MSD. It must also be considered that the introduction of a generic drug into the market implies the progressive decrease of sales of the previously monopolistic product and that this substitution process extends over time until the moment when the sales of the generics cease to grow and a new market equilibrium is established.  </w:t>
        <w:br/>
        <w:t xml:space="preserve">(616) That is to say, to estimate what is considered the illicit benefit derived from the infringement, the effects that occurred must be analyzed:  </w:t>
        <w:br/>
        <w:t xml:space="preserve">- during the time when the entry of the generic ring into the market was prevented (i.e., from the adoption of the precautionary measures until they are lifted),  </w:t>
        <w:br/>
        <w:t xml:space="preserve">- from the lifting of the precautionary measures until the market situation prior to their adoption was reached, and  </w:t>
        <w:br/>
        <w:t xml:space="preserve">- from the restoration of the market situation prior to the adoption of the precautionary measures until the natural market equilibrium between CHEMO and MSD was reached.  </w:t>
        <w:br/>
        <w:t xml:space="preserve">Consequently, MSD's conduct would have had the following effects directly linked to the illicit benefit obtained:  </w:t>
        <w:br/>
        <w:t xml:space="preserve">- The maintenance of MSD's monopolistic position during the duration of the precautionary measures agreed inaudita parte.  </w:t>
        <w:br/>
        <w:t xml:space="preserve">- The deferral of the moment when the natural equilibrium situation that the market dynamics would have led to is reached.  </w:t>
        <w:br/>
        <w:t xml:space="preserve">(617) According to the data in the file, the monopoly situation was maintained during the duration of the precautionary measures (September to December 2017) and extended to a quasi-monopoly situation until a market situation equivalent to that which existed prior to the precautionary measures was reached (which was not restored in Spain until at least March 2018)353.  </w:t>
        <w:br/>
        <w:t xml:space="preserve">(618) The effects of the conduct did not disappear, at least, until the generic ring was able to achieve a stable market share. In this case, the stabilization moment corresponds approximately to the end of the first quarter of 2020.  </w:t>
        <w:br/>
        <w:t xml:space="preserve">(619) There are various data sources in the file that allow for the verification that MSD obtained a benefit derived from the judicial actions exercised and therefore allow for an estimation of the revenues obtained by MSD linked to the consequences of the infringement in the market.  </w:t>
        <w:br/>
        <w:t xml:space="preserve">(620) [CONFIDENTIAL].  </w:t>
        <w:br/>
        <w:t xml:space="preserve">353 This estimate is based on data from MSD (folio 3.435) that coincides, except for minor deviations, with those provided by CHEMO (folio 7.017).  </w:t>
        <w:br/>
        <w:t xml:space="preserve">Comisión Nacional de los Mercados y la Competencia 150 de 158  </w:t>
        <w:br/>
        <w:t xml:space="preserve">C/ Alcalá, 47 – 28014 Madrid - C/ Bolivia, 56 – 08018 Barcelona  </w:t>
        <w:br/>
        <w:t>www.cnmc.es</w:t>
      </w:r>
    </w:p>
    <w:p>
      <w:r>
        <w:rPr>
          <w:b/>
        </w:rPr>
        <w:t>[Pages 151–153]</w:t>
      </w:r>
    </w:p>
    <w:p>
      <w:r>
        <w:t xml:space="preserve">S/0026/19  </w:t>
        <w:br/>
        <w:t xml:space="preserve">MERCK SHARP DOHME, S.A.  </w:t>
        <w:br/>
        <w:t xml:space="preserve">Image 18. [CONFIDENTIAL]354  </w:t>
        <w:br/>
        <w:t xml:space="preserve">Source: Folio 6.389  </w:t>
        <w:br/>
        <w:t xml:space="preserve">(621) [CONFIDENTIAL].  </w:t>
        <w:br/>
        <w:t xml:space="preserve">Image 19. [CONFIDENTIAL]  </w:t>
        <w:br/>
        <w:t xml:space="preserve">Source: Folio 6.418  </w:t>
        <w:br/>
        <w:t xml:space="preserve">(622) The file also contains data that allows estimating:  </w:t>
        <w:br/>
        <w:t xml:space="preserve">- The level of sales in Spain of vaginal rings from all producers from 2016 to March 2020355.  </w:t>
        <w:br/>
        <w:t xml:space="preserve">- The revenues derived from the increase in sales in Europe of MSD compared to its forecast in the first 6 months since the first introduction of the generic356.  </w:t>
        <w:br/>
        <w:t xml:space="preserve">- The percentage that the revenues in Spain from the sales of the Nuvaring represent of the total revenues in Europe.  </w:t>
        <w:br/>
        <w:t xml:space="preserve">- The excess sales in Spain during the total period in which the infringement was in effect.  </w:t>
        <w:br/>
        <w:t xml:space="preserve">- The profit obtained from the sale of one ring.  </w:t>
        <w:br/>
        <w:t xml:space="preserve">(623) These data allow for an estimation of how the market for vaginal rings in Spain should have behaved had the analyzed conduct not occurred.  </w:t>
        <w:br/>
        <w:t xml:space="preserve">Such estimation starts from considering the data on the evolution of sales of the generic rings from the moment the market situation prior to the adoption of the precautionary measures is restored (in April 2018) and considering that such evolution should have occurred, in the absence of infringement, from September 2017 (the moment when the production, sale, and marketing of the generic was interrupted).  </w:t>
        <w:br/>
        <w:t xml:space="preserve">From the proportion that sales in Spain represent of the total sales in the European market, the increase in sales that the infringement represented for MSD in the entire market affected by the conduct is calculated.  </w:t>
        <w:br/>
        <w:t xml:space="preserve">354 [CONFIDENTIAL] (folios 6366 to 6408).  </w:t>
        <w:br/>
        <w:t xml:space="preserve">355 Folio 7.017.  </w:t>
        <w:br/>
        <w:t xml:space="preserve">356 Folio 6.418.  </w:t>
        <w:br/>
        <w:t xml:space="preserve">S/0026/19  </w:t>
        <w:br/>
        <w:t xml:space="preserve">MERCK SHARP DOHME, S.A.  </w:t>
        <w:br/>
        <w:t xml:space="preserve">Finally, there are public data on the revenues and profits obtained by MSD from its pharmaceutical products357. Also from the wholesale selling price of the Nuvaring358. Both allow for a reasonable estimation of the profit obtained per unit.  </w:t>
        <w:br/>
        <w:t xml:space="preserve">With this set of data, the illicit profit obtained as a consequence of the increase in sales during the analyzed period is estimated compared to what would have been obtained had the conduct not occurred.  </w:t>
        <w:br/>
        <w:t xml:space="preserve">Response to MSD's allegations regarding the proportionality and estimation of illicit profit  </w:t>
        <w:br/>
        <w:t xml:space="preserve">(624) This Chamber considers that MSD's allegations regarding the proportionality of the sanction and the estimation of illicit profit cannot be accepted.  </w:t>
        <w:br/>
        <w:t xml:space="preserve">(625) MSD argues that the Council errs in taking into account in its estimation all global sales of the Nuvaring, when the judicial proceedings were geographically limited to Spanish territory.  </w:t>
        <w:br/>
        <w:t xml:space="preserve">However, this allegation cannot be taken into consideration.  </w:t>
        <w:br/>
        <w:t xml:space="preserve">It is a well-established fact that the production of the ring by INSUD PHARMA was centralized in the LEÓN FARMA factories in León, Spain. Although the abuse in litigation, which had among its proven consequences the precautionary halt of production in Spain of the ring, occurred effectively in Spain, the truth is that it had an impact on all sales forecasts of the Ornibel ring, even outside of Spain.  </w:t>
        <w:br/>
        <w:t xml:space="preserve">The effects on the European market are quantified in the proven facts of this resolution, specifically in paragraph (248) and were included in the Requalification Agreement, which the interested party omits in its allegations.  </w:t>
        <w:br/>
        <w:t xml:space="preserve">The allegation that this Chamber takes into account in a decisive manner for the calculation of illicit profit the reference to the [CONFIDENTIAL] millions of euros that MSD claimed to have obtained as revenues above its estimates in the first months after the delay in the entry of the generics mentioned in paragraph (247) of this resolution cannot be accepted. As is obvious, this data is used solely to confirm that the delay in the entry of generics resulted in revenues for MSD above the estimated. If the value of [CONFIDENTIAL] millions had been used in the calculation (and not the 12 million estimated for the European market), since that figure corresponds only to a period of 6 months, the estimation would have approached the 400 million that the same document claims it expects to obtain359. This extreme is inconsistent with what is expressed in the requalification agreement, which estimates the imposed fine to be between 2 and 3 times the estimated illicit profit.  </w:t>
        <w:br/>
        <w:t xml:space="preserve">(626) MSD also claims that the estimation of illicit profit made in the requalification agreement is erroneous and that, therefore, "the Competition Chamber should have resorted to the actual VMNA, which would be much lower than that reflected in the Requalification Agreement, as an indicator of the 'illicit profit'."  </w:t>
        <w:br/>
        <w:t xml:space="preserve">This allegation cannot be accepted either.  </w:t>
        <w:br/>
        <w:t xml:space="preserve">Firstly, in the opinion of this Chamber, MSD incurs a contradiction with its allegations to the PR on this issue (folios 10.729 and 10.730). It then stated that "it is necessary to compare the actual profit obtained by the sanctioned company with what it would have obtained in a counterfactual scenario or in the absence of infringement" and that in the PR "the totality of the profit is being attributed to the conduct (and not only the illicitly obtained, which is the criterion that should be applied)."  </w:t>
        <w:br/>
        <w:t xml:space="preserve">It is striking that, once the Chamber has made the estimation of illicit profit, expressing the sources of data used for the calculation, MSD now seeks for this to be computed taking into account only the VNMA. Especially since the data used to verify the proportionality of the fine refer to the specific elements of the file detailed in the requalification agreement, among which the VNMA is not included.  </w:t>
        <w:br/>
        <w:t xml:space="preserve">Secondly, MSD has not provided this Chamber with specific elements that would allow altering the calculation made in the Requalification Agreement, having had a specific procedure for allegations for this purpose. In its allegations, beyond the issues already addressed previously, no error in the sources of data used for the estimation is evidenced, nor is any alternative calculation of the profit derived from the precautionary halt of production of the competing ring offered.  </w:t>
        <w:br/>
        <w:t xml:space="preserve">(627) Finally, the general allegation that the proportionality of the sanction has not been assessed must be rejected.  </w:t>
        <w:br/>
        <w:t xml:space="preserve">(628) The object of the proportionality assessment is limited to a review of this proportionality once the amount of the sanction resulting from applying the infringing rate to the VTN has been calculated. The Requalification Agreement estimates the illicit profit obtained by the company with the data contained in the file.  </w:t>
        <w:br/>
        <w:t>Subsequently, it is verified that the value of the calculated sanction is within a reasonable multiple of this illicit profit. When this condition is met, the amount of the fine is considered proportionate and deterrent. Since the resulting sanction is the one ultimately imposed, there is no risk that it will be disproportionate.</w:t>
      </w:r>
    </w:p>
    <w:p>
      <w:r>
        <w:rPr>
          <w:b/>
        </w:rPr>
        <w:t>[Pages 154–156]</w:t>
      </w:r>
    </w:p>
    <w:p>
      <w:r>
        <w:t xml:space="preserve">S/0026/19  </w:t>
        <w:br/>
        <w:t xml:space="preserve">MERCK SHARP DOHME, S.A.  </w:t>
        <w:br/>
        <w:t xml:space="preserve">Imposed fine  </w:t>
        <w:br/>
        <w:t xml:space="preserve">(629) Considering all these elements, this Chamber believes that a fine of 5.75% of the total turnover of the company should be imposed, which amounts to 38,934,000 euros.  </w:t>
        <w:br/>
        <w:t xml:space="preserve">V.6. [SIXTH] Application of the prohibition to contract  </w:t>
        <w:br/>
        <w:t xml:space="preserve">V.6.A. Proposal of the instructing body  </w:t>
        <w:br/>
        <w:t xml:space="preserve">(630) The resolution proposal highlights the responsibility of the companies involved for infringing Articles 2 LDC and 102 TFEU, which should be classified as an infringement of distortion of competition for the purposes of the aforementioned articles, therefore the Competition Directorate considers that this prohibition to contract should be declared for the companies participating in this very serious infringement of the LDC.  </w:t>
        <w:br/>
        <w:t xml:space="preserve">V.6.B. Allegations of MSD  </w:t>
        <w:br/>
        <w:t xml:space="preserve">(631) MSD denies that conduct constituting an abuse of dominant position as provided in Articles 2 LDC and 102 TFEU can be classified as "distortion of competition," for the purposes of the LCSP. It bases its reasoning on the need to interpret the LCSP regulations in accordance with European law and, in this particular case, in accordance with Article 57 of Directive 2014/24/EU, of February 26, 2014, on public procurement (the “Directive 2014/24/EU”) which, in its section 4.d) establishes that contracting authorities may exclude an economic operator from participation in a procurement procedure, “when the contracting authority has sufficiently plausible indications that the economic operator has reached agreements with other economic operators aimed at distorting competition” 360.  </w:t>
        <w:br/>
        <w:t xml:space="preserve">It adds that the prohibition to contract is an inappropriate measure in this case, as the conduct has not affected the degree of competition in public procurement procedures. It appeals to its disproportionate nature, as public procurement accounts for nearly 75% of MSD's total annual turnover.  </w:t>
        <w:br/>
        <w:t xml:space="preserve">It highlights the relevance that the Compliance Program has for MSD361. The effectiveness of these compliance programs to avoid a potential prohibition to contract has been expressly recognized by the CNMC in the Guide on compliance programs for defending competition of June 2020 regarding the importance of having such programs.  </w:t>
        <w:br/>
        <w:t xml:space="preserve">It points out that the application of the prohibition to contract in this case would be detrimental to the public interest, as MSD markets 36 medicines (22 for hospital use or diagnosis, 10 vaccines, and 4 for dispensing in pharmacies), of which 32 are acquired by the public sector, representing 89% of its portfolio. Furthermore, of the 22 hospital-use medicines, 13 of them are exclusive, or MSD is the only supplier.  </w:t>
        <w:br/>
        <w:t xml:space="preserve">It adds that the prohibition to contract with the public sector would lead in many cases to a situation of therapeutic gap. In light of the above, MSD considers that no prohibition to contract should be imposed as it is clearly inappropriate, unjust, disproportionate, and unfounded. Alternatively, if the Council deems a prohibition to contract appropriate, it should only apply to the product subject to the file.  </w:t>
        <w:br/>
        <w:t xml:space="preserve">(632) MSD reiterates its arguments on this issue in the allegations made after the reclassification. In them, it states that since this Chamber, on the occasion of the reclassification, did not grant a hearing on the prohibition to contract, this measure would no longer be in effect.  </w:t>
        <w:br/>
        <w:t xml:space="preserve">V.6.C. Assessment of the Competition Chamber  </w:t>
        <w:br/>
        <w:t xml:space="preserve">(633) In response to these allegations, it should be noted that Article 71.1.b) LCSP refers to infringements of "distortion of competition" to which it applies, typically to collusive agreements prohibited by Article 1 LDC, but also potentially, given its general wording, to abuses of dominant position (Article 2 LDC) or unfair competition practices affecting the general interest (Article 3 LDC). Directive 2014/24/EU does not pose any obstacle to reaching such a conclusion as what is relevant in this regard is the general wording of the LCSP.  </w:t>
        <w:br/>
        <w:t xml:space="preserve">(634) This Chamber does consider it relevant that, at the time of determining the duration and scope of the prohibition, the importance of a supplier like MSD for the Spanish pharmaceutical sector can be taken into account. An unlimited prohibition to contract for all MSD products could harm the public interest and affect the health and lives of individuals.  </w:t>
        <w:br/>
        <w:t xml:space="preserve">(635) Consequently, this Chamber would consider it reasonable for the prohibition to contract to reference the market for combined contraceptives of the vaginal ring type and not all products marketed by MSD.  </w:t>
        <w:br/>
        <w:t xml:space="preserve">(636) In any case, and regardless of the reasonableness of the request, the fact is that the prohibition to contract must have a duration and scope determined, so that if these are not expressly determined in the corresponding administrative or judicial resolution, they must be established in an ad hoc procedure (art. 72.2 LCSP). Given this, and aside from the timeframe in which such duration and scope should be set (art. 72.7 LCSP), it is possible to identify an automatic consequence in the prohibition to contract resulting from infringements regarding distortion of competition, which derives ope legis or as a mere reflection of the issuance of a resolution declaring such infringement as provided by the aforementioned Article 71.1.b) of the LCSP.  </w:t>
        <w:br/>
        <w:t xml:space="preserve">(637) Precisely because of this automaticity in the imposition of this measure, it cannot be asserted, as MSD does, that the prohibition to contract would have lapsed due to its not being mentioned in the Reclassification Agreement, so this allegation cannot prosper.  </w:t>
        <w:br/>
        <w:t xml:space="preserve">(638) This resolution does not set the duration and scope of the prohibition to contract. Therefore, these aspects must be determined through a procedure processed in accordance with Article 72.2 of the LCSP. To this end, it is agreed to send a certification of this resolution to the State Public Procurement Advisory Board.  </w:t>
        <w:br/>
        <w:t xml:space="preserve">(639) Regarding MSD's compliance program, the LCSP, in its section 72.5, admits the possibility of circumventing this prohibition to contract when the company, in addition to proceeding or committing to pay the relevant fines or compensations, has a compliance program. Specifically when: “the person involved in the cause of prohibition proves the payment or commitment to pay the fines and compensations set by judgment or administrative resolution from which the cause of prohibition to contract derives, provided that the aforementioned persons have been declared responsible for the payment thereof in the aforementioned judgment or resolution, and the adoption of appropriate technical, organizational, and personnel measures to prevent the commission of future administrative infringements, among which will be included adherence to the leniency program regarding distortion of competition.”  </w:t>
        <w:br/>
        <w:t>(640) Considering the above, analyzing the document submitted by MSD, this Chamber cannot overlook that it has an excessively generic and incomplete nature. On one hand, [CENSORED] does not take into account the specific risks to free competition arising from potential abusive conduct nor, therefore, the implicit risk map associated with the abusive exercise of patent rights. It would have been necessary, therefore, to have a risk map that addresses the specificity of the pharmaceutical sector. Risks, on the other hand, that every diligent company must know and avoid and that are neither new nor unprecedented, but have been</w:t>
      </w:r>
    </w:p>
    <w:p>
      <w:r>
        <w:rPr>
          <w:b/>
        </w:rPr>
        <w:t>[Pages 157–158]</w:t>
      </w:r>
    </w:p>
    <w:p>
      <w:r>
        <w:t xml:space="preserve">S/0026/19  </w:t>
        <w:br/>
        <w:t xml:space="preserve">MERCK SHARP DOHME, S.A.  </w:t>
        <w:br/>
        <w:t xml:space="preserve">made evident in repeated pronouncements, such as the report of the European Commission, which has been referred to in the background (265) to (269).  </w:t>
        <w:br/>
        <w:t xml:space="preserve">VI. RESOLVES  </w:t>
        <w:br/>
        <w:t xml:space="preserve">(641) First. Declare the existence of prohibited conduct under Article 2 of the LDC and Article 102 of the TFEU, carried out by MERCK SHARP &amp; DOHME DE ESPAÑA, S.A., consisting of an abuse of position -through the exercise of unfounded legal actions with the purpose of harassing a competitor- which begins with the submission of the request for the diligence of fact verification on June 27, 2017, and ends with the expiration of the patent on April 9, 2018.  </w:t>
        <w:br/>
        <w:t xml:space="preserve">Second. Declare the following responsible for said infringement:  </w:t>
        <w:br/>
        <w:t xml:space="preserve">1. MERCK SHARP &amp; DOHME DE ESPAÑA, S.A., for its direct responsibility and participation in the infringement constituting an abuse of dominant position prohibited by Article 2 of the LDC and by Article 102 of the TFEU between June 27, 2017, and April 9, 2018.  </w:t>
        <w:br/>
        <w:t xml:space="preserve">2. MSD HUMAN HEALTH HOLDING, B.V., parent company of MERCK SHARP &amp; DOHME DE ESPAÑA, S.A., for joint liability in the commission of said infringement constituting an abuse of dominant position prohibited by Article 2 of the LDC and by Article 102 of the TFEU between June 27, 2017, and April 9, 2018.  </w:t>
        <w:br/>
        <w:t xml:space="preserve">Third. Impose a fine of 38,934,000 euros on MERCK SHARP &amp; DOHME DE ESPAÑA, S.A., for the commission of a very serious infringement of Article 62.4. b) of the LDC.  </w:t>
        <w:br/>
        <w:t xml:space="preserve">Fourth. Order MERCK SHARP &amp; DOHME DE ESPAÑA, S.A., to refrain in the future from engaging in conduct similar to that typified and sanctioned in this resolution.  </w:t>
        <w:br/>
        <w:t xml:space="preserve">Fifth. Forward this resolution to the Public Procurement Advisory Board of the State in accordance with the provisions set forth in the sixth legal basis.  </w:t>
        <w:br/>
        <w:t xml:space="preserve">Sixth. Urge the Directorate of Competition to monitor the full compliance with this resolution.  </w:t>
        <w:br/>
        <w:t xml:space="preserve">S/0026/19  </w:t>
        <w:br/>
        <w:t xml:space="preserve">MERCK SHARP DOHME, S.A.  </w:t>
        <w:br/>
        <w:t xml:space="preserve">Seventh. Resolve on the confidentiality regarding the documentation provided by the companies in accordance with what is indicated in the fourth legal basis, section D) of this resolution.  </w:t>
        <w:br/>
        <w:t>Communicate this Resolution to the Directorate of Competition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