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https://www.cnmc.es/expedientes/s002807</w:t>
      </w:r>
    </w:p>
    <w:p>
      <w:r>
        <w:t>Pages translated : 5</w:t>
      </w:r>
    </w:p>
    <w:p/>
    <w:p>
      <w:r>
        <w:rPr>
          <w:b/>
        </w:rPr>
        <w:t>[Pages 1–3]</w:t>
      </w:r>
    </w:p>
    <w:p>
      <w:r>
        <w:t xml:space="preserve">RESOLUTION S/0028/07, Unfair Competition  </w:t>
        <w:br/>
        <w:t xml:space="preserve">COUNCIL  </w:t>
        <w:br/>
        <w:t xml:space="preserve">Mr. Luís Berenguer Fuster, President  </w:t>
        <w:br/>
        <w:t xml:space="preserve">Mr. Fernando Torremocha García-Sáenz, Councilor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21, 2008  </w:t>
        <w:br/>
        <w:t xml:space="preserve">The Council of the National Competition Commission (CNC), with the composition stated above, has issued the following Resolution in the file S/0028/07 processed as a result of the letter submitted on December 13, 2007, to the CNC by Mr. (…), in his capacity as the plenipotentiary CEO of the commercial entity NUEVOS ESPACIOS JURÍDICOS, S.L., by which he reported the entity JIMENEZ DE PARGA ABOGADOS and the lawyer of said firm Mr. (…), for alleged conduct prohibited by the Competition Defense Law (LDC).  </w:t>
        <w:br/>
        <w:t xml:space="preserve">FACTUAL BACKGROUND  </w:t>
        <w:br/>
        <w:t xml:space="preserve">1. The General Directorate of Competition Defense submitted the following proposal for decision by this Council:  </w:t>
        <w:br/>
        <w:t xml:space="preserve">“PROPOSAL FOR ARCHIVING (File S/0028/07)  </w:t>
        <w:br/>
        <w:t xml:space="preserve">I. FACTUAL BACKGROUND  </w:t>
        <w:br/>
        <w:t>On December 13, 2007, a letter from Mr. (…) in his capacity as the plenipotentiary CEO of the commercial entity NUEVOS ESPACIOS JURÍDICOS, S.L., was received by the National Competition Commission, reporting the entity JIMENEZ DE PARGA ABOGADOS and the lawyer of said firm Mr. (…), for alleged conduct prohibited by the Competition Defense Law (LDC).</w:t>
      </w:r>
    </w:p>
    <w:p>
      <w:r>
        <w:t xml:space="preserve">According to the complaint, BONOCHEF, S.L., after having been a client of the complainant since October 2005, considered that once its turnover increased, it could negotiate a retainer with the complainant. The company NUEVOS ESPACIOS JURIDICOS, seeing what it had billed BONOCHEF in recent months and the work effectively done for it, proposed a retainer of €1500. At that moment, the company BONOCHEF decided to dispense with the services of the defendant, alleging that it had reached an agreement with the entity JIMENEZ DE PARGA ASOCIADOS, which would provide the same services that the complainant had been providing free of charge until BONOCHEF obtained profits. The complainant considers that the actions of the entity JIMENEZ DE PARGA constitute an act of unfair competition, consisting of providing services below the profitability threshold, reaching the limit of offering the same without charging any fees in order to attract a client from the complainant.  </w:t>
        <w:br/>
        <w:t xml:space="preserve">II. LEGAL GROUNDS  </w:t>
        <w:br/>
        <w:t xml:space="preserve">In view of the complaint and without the need to carry out any action as reserved information to determine the truthfulness of the facts, it can be concluded that they would not fall within the prohibitions of articles 1, 2, and 3 of Law 15/07, of July 3 (BOE of the 4th), on Competition Defense, since:  </w:t>
        <w:br/>
        <w:t xml:space="preserve">1.- The application of Article 1 of the LDC requires as an essential requirement, as the now-defunct Competition Defense Tribunal (TDC), (currently the Council of the National Competition Commission) has repeatedly stated, the existence of a concert of wills among various economic operators or an association. In this case, the complaint is made against a single entity and one of its employees, so it would be a unilateral act, not fitting within the cited article.  </w:t>
        <w:br/>
        <w:t xml:space="preserve">2.- Regarding the application of Article 2 of the LDC, according to the doctrine of the TDC, it requires: the precise determination of the relevant market, evidence that the operators involved in the examined conduct hold a dominant position in the previously defined relevant market; and, finally, evidence that such operators have abused their privileged position in the market. In the present case, defining the market, in a first approximation, as that of providing legal assistance and advisory services to companies, at least, it can be concluded that the reported entity does not hold a dominant position in the same, therefore, without a dominant position, it is not appropriate to analyze whether the reported conduct could be abusive or not.  </w:t>
        <w:br/>
        <w:t xml:space="preserve">3.- Finally, regarding the application of Article 3 of the LDC, it prohibits those acts of unfair competition that, by distorting free competition, affect the public interest. Regarding the alleged unfair behavior, it should be noted that the Code of Ethics of the Legal Profession, adapted to the General Statute of the Spanish Legal Profession, approved by Royal Decree 658/2001, of June 22, in its art. 8 e) considers it unfair "The contravention of articles 15 and 16 of this Code, and/or the provision of free services that implies selling at a loss in the terms established in Article 17 of the Unfair Competition Law." Article 17 of the Unfair Competition Law (LCD) regarding selling at a loss states:  </w:t>
        <w:br/>
        <w:t xml:space="preserve">1. Unless otherwise provided by laws or regulations, price setting is free.  </w:t>
        <w:br/>
        <w:t xml:space="preserve">2. However, sales made below cost, or below the purchase price, shall be deemed unfair in the following cases:  </w:t>
        <w:br/>
        <w:t xml:space="preserve">a) When it is likely to mislead consumers about the price levels of other products or services of the same establishment.  </w:t>
        <w:br/>
        <w:t xml:space="preserve">b) When it has the effect of discrediting the image of a product or of a competing establishment.  </w:t>
        <w:br/>
        <w:t xml:space="preserve">c) When it is part of a strategy aimed at eliminating a competitor or group of competitors from the market.”  </w:t>
        <w:br/>
        <w:t>Even if it could be valid that services were being provided to the company BONOCHEF by the defendant without any compensation, it would have to be demonstrated the alleged unfairness of the facts in case they could constitute an infringement of the LCD and, if applicable, violate the code of ethics of the legal profession. In the present case, since it is an action with a single client of the complainant, the analyzed conduct does not seem aimed at misleading consumers about the applicable prices for the provision of services by the reported entity, nor at discrediting the image of the complainant company, nor does it appear to be part of a strategy aimed at eliminating the complainant entity.</w:t>
      </w:r>
    </w:p>
    <w:p>
      <w:r>
        <w:rPr>
          <w:b/>
        </w:rPr>
        <w:t>[Pages 4–5]</w:t>
      </w:r>
    </w:p>
    <w:p>
      <w:r>
        <w:t>But even in the hypothetical case that the conduct was considered unfair, taking into account its minimal importance within the defined market of providing legal assistance and advisory services to companies, there is no significant impact on competition nor, therefore, on the public interest.</w:t>
      </w:r>
    </w:p>
    <w:p>
      <w:r>
        <w:t>Finally, if the complainant considers that their economic rights have been unlawfully harmed, they can always resort to the Commercial Jurisdiction to defend their interests through the application of the Unfair Competition Law or to the Bar Association if they believe that the Code of Ethics of the Legal Profession has been violated.</w:t>
      </w:r>
    </w:p>
    <w:p>
      <w:r>
        <w:t>III. PROPOSAL</w:t>
      </w:r>
    </w:p>
    <w:p>
      <w:r>
        <w:t>Therefore, in accordance with the provisions of Article 49.3 of Law 15/2007, of July 3, on the Defense of Competition, it is proposed not to initiate the sanctioning procedure, as well as to archive the proceedings followed as a consequence of the complaint filed by Mr. (…), considering that there are no indications of infringement of the aforementioned Law. For these purposes, the complaint and the actions taken by this Directorate are submitted.</w:t>
      </w:r>
    </w:p>
    <w:p>
      <w:r>
        <w:t>2. The Council of the National Competition Commission deliberated and issued this Resolution in its meeting on February 7, 2008.</w:t>
      </w:r>
    </w:p>
    <w:p>
      <w:r>
        <w:t>LEGAL GROUNDS</w:t>
      </w:r>
    </w:p>
    <w:p>
      <w:r>
        <w:t>The Council of the CNC considers that the proposal of the General Directorate of Competition Defense adequately analyzes the facts and the legal consequences of the complaint, therefore, agreeing that there are no indications of infringement, it has decided not to initiate a file and to archive the proceedings.</w:t>
      </w:r>
    </w:p>
    <w:p>
      <w:r>
        <w:t>For all the above, the Council of the National Competition Commission has resolved</w:t>
      </w:r>
    </w:p>
    <w:p>
      <w:r>
        <w:t>SOLE: Not to initiate a sanctioning procedure and to archive the proceedings followed as a consequence of the complaint filed by Mr. (…), considering that there are no indications of infringement of the aforementioned Law.</w:t>
      </w:r>
    </w:p>
    <w:p>
      <w:r>
        <w:t>This Resolution shall be communicated to the Directorate of Investigation and notified to the interested parties, informing them that it concludes the administrative route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