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https://www.cnmc.es/expedientes/s002919</w:t>
      </w:r>
    </w:p>
    <w:p>
      <w:r>
        <w:t>Pages translated : 12</w:t>
      </w:r>
    </w:p>
    <w:p/>
    <w:p>
      <w:r>
        <w:rPr>
          <w:b/>
        </w:rPr>
        <w:t>[Pages 1–3]</w:t>
      </w:r>
    </w:p>
    <w:p>
      <w:r>
        <w:t>RESOLUTION</w:t>
        <w:br/>
        <w:t>Exp. S/0029/19 CLIDOM ENERGY</w:t>
        <w:br/>
        <w:t>COUNCIL. COMPETITION ROOM</w:t>
        <w:br/>
        <w:t>President</w:t>
        <w:br/>
        <w:t>Mr. José María Marín Quemada</w:t>
        <w:br/>
        <w:t>Counselors</w:t>
        <w:br/>
        <w:t>Ms. María Ortiz Aguilar</w:t>
        <w:br/>
        <w:t>Mr. Josep Maria Guinart Solà</w:t>
        <w:br/>
        <w:t>Ms. Clotilde de la Higuera González</w:t>
        <w:br/>
        <w:t>Ms. Maria Pilar Canedo Arrillaga</w:t>
        <w:br/>
        <w:t>Secretary of the Council</w:t>
        <w:br/>
        <w:t>Mr. Joaquim Hortalà i Vallvé</w:t>
        <w:br/>
        <w:t>In Madrid, on April 21, 2020</w:t>
        <w:br/>
        <w:t>The Competition Room of the Council of the National Commission of Markets and Competition (CNMC), with the composition expressed, has issued the following resolution in the file S/0029/19 CLIDOM ENERGY, processed in response to the complaint filed by FACUA CONSUMIDORES EN ACCIÓN (FACUA) for alleged practices and behaviors contrary to Law 15/2007, of July 3, on the Defense of Competition (LDC) by CLIDOM ENERGY S.L.</w:t>
      </w:r>
    </w:p>
    <w:p>
      <w:r>
        <w:t>INDEX</w:t>
        <w:br/>
        <w:t>I. FACTUAL BACKGROUND ..................................................................................... 3</w:t>
        <w:br/>
        <w:t>II. THE PARTIES ........................................................................................................... 3</w:t>
        <w:br/>
        <w:t>1. Complainant: FACUA CONSUMIDORES EN ACCIÓN (FACUA) ....................... 3</w:t>
        <w:br/>
        <w:t>2. Respondent: HOLALUZ-CLIDOM S.A. (HOLALUZ) ............................................. 3</w:t>
        <w:br/>
        <w:t>III. AFFECTED MARKET ............................................................................................... 4</w:t>
        <w:br/>
        <w:t>IV. REGULATORY FRAMEWORK ............................................................................... 5</w:t>
        <w:br/>
        <w:t>V. REPORTED FACTS .................................................................................................. 7</w:t>
        <w:br/>
        <w:t>LEGAL GROUNDS ......................................................................................................... 8</w:t>
        <w:br/>
        <w:t>FIRST. - Competence to resolve .................................................................................. 8</w:t>
        <w:br/>
        <w:t>SECOND. - Object of the resolution and proposal of the instructing body ............. 9</w:t>
        <w:br/>
        <w:t>THIRD. - Assessment of the Competition Room ....................................................... 9</w:t>
        <w:br/>
        <w:t>HAS RESOLVED ............................................................................................................. 11</w:t>
      </w:r>
    </w:p>
    <w:p>
      <w:r>
        <w:t>I. FACTUAL BACKGROUND</w:t>
        <w:br/>
        <w:t>1. On June 19, 2019, the Energy Directorate of the CNMC (DE) forwarded to the Competition Directorate of the CNMC (DC) a written complaint from FACUA regarding a possible infringement of competition regulations against CLIDOM ENERGY S.L. (hereinafter, HOLALUZ, the commercial name under which it operates) consisting of the publication on its website of a commercial message directed at vulnerable consumers with the purpose of offering them tariffs from the free market (folios 1 to 15).</w:t>
        <w:br/>
        <w:t>2. On September 4, 2019, the DC directed a request for information to HOLALUZ (folios 16 to 21). HOLALUZ responded to the request for information on October 3, 2019 (folios 50 to 61).</w:t>
        <w:br/>
        <w:t>3. On January 14, 2020, the DC proposed not to initiate the sanctioning procedure and to archive the proceedings, in accordance with Article 49.3 of the LDC (folios 63 to 71).</w:t>
        <w:br/>
        <w:t>4. The Competition Room of the Council of the CNMC resolved the matter in its meeting on April 21, 2020.</w:t>
      </w:r>
    </w:p>
    <w:p>
      <w:r>
        <w:t>II. THE PARTIES</w:t>
        <w:br/>
        <w:t>1. Complainant: FACUA CONSUMIDORES EN ACCIÓN (FACUA)</w:t>
        <w:br/>
        <w:t>FACUA is a non-governmental organization, non-profit, dedicated since its inception in 1981 to the defense of consumer rights. According to its statutes, approved in an Extraordinary General Assembly on March 7, 2015, and available on its website, it is based in Seville and has among its aims to disseminate and defend the rights of consumers and users.</w:t>
        <w:br/>
        <w:t>2. Respondent: HOLALUZ-CLIDOM S.A. (HOLALUZ)</w:t>
        <w:br/>
        <w:t>CLIDOM ENERGY, S.L. is an electricity marketing company accredited to supply electrical energy to all customers at the national peninsular level. On October 18, 2019, CLIDOM ENERGY, S.L. agreed to transform into a public limited company, changing its name to HOLALUZ-CLIDOM S.A. (hereinafter, both referred to as HOLALUZ).</w:t>
      </w:r>
    </w:p>
    <w:p>
      <w:r>
        <w:rPr>
          <w:b/>
        </w:rPr>
        <w:t>[Pages 4–6]</w:t>
      </w:r>
    </w:p>
    <w:p>
      <w:r>
        <w:t xml:space="preserve">III. AFFECTED MARKET  </w:t>
        <w:br/>
        <w:t xml:space="preserve">The reported practice takes place in the retail electricity supply market to domestic customers at the national level. In particular, it affects those domestic customers who, having been beneficiaries of the social bonus, no longer meet the requirements to qualify for it.  </w:t>
        <w:br/>
        <w:t xml:space="preserve">1. Product Market  </w:t>
        <w:br/>
        <w:t xml:space="preserve">Recent national and community precedents have opted to differentiate supply markets by customer type, taking into account differences in consumption volumes, demand patterns, types of contracts, commercial relationships, profit margins, etc. Thus, a distinction has been made between supply to large customers or industrial customers (which is akin to supply at high voltage) and supply to residential customers and SMEs (which is akin to supply at low voltage).  </w:t>
        <w:br/>
        <w:t xml:space="preserve">The coexistence of regulated and free price supply, as alternative options for consumers who meet the established eligibility conditions, and the fact that the supply of electricity at free price and regulated price is provided by marketing companies that belong to the same business group, has justified in many of the cases analyzed by European and Spanish competition authorities the consideration of them as part of a single relevant product market.  </w:t>
        <w:br/>
        <w:t xml:space="preserve">However, in other national precedents, due to the specific characteristics of the regulation, the supply to low voltage consumers with contracted power equal to or less than 10 kW has been analyzed. These characteristics are identified with the supply of electricity to consumers who may have certain supply conditions and a final supply price regulated (Voluntary Price for the Small Consumer —PVPC-), alternatively to the supply offers from marketers in the free market.  </w:t>
        <w:br/>
        <w:t xml:space="preserve">This market segment primarily affects residential consumers, for whom electricity is used for lighting, heating, operation of appliances, and other devices. Their consumption is lower than that of commercial and industrial consumers and, in general, they do not allocate significant resources to seeking information and comparing commercial offers to switch suppliers.  </w:t>
        <w:br/>
        <w:t xml:space="preserve">Among those consumers who have contracted the PVPC, those who meet the requirements established in Royal Decree 897/2017, of October 6, which regulates the figure of the vulnerable consumer, the social bonus, and other protective measures for domestic electricity consumers (Royal Decree 897/2017), have the possibility of benefiting from the social bonus, which implies a discount on the bill of the Voluntary Price for the Small Consumer.  </w:t>
        <w:br/>
        <w:t xml:space="preserve">According to the above, the affected product market for the purposes of the file includes the retail supply of electricity to domestic customers.  </w:t>
        <w:br/>
        <w:t xml:space="preserve">2. Geographic Market  </w:t>
        <w:br/>
        <w:t xml:space="preserve">Both at the community and national level, it has been considered that these markets have a national geographic dimension, to the extent that the different suppliers establish their competitive strategies and offer their services at the national level.  </w:t>
        <w:br/>
        <w:t xml:space="preserve">IV. REGULATORY FRAMEWORK  </w:t>
        <w:br/>
        <w:t xml:space="preserve">The PVPC is a regulated tariff for the electricity supply contract established by the Government. The PVPC is provided for in Article 17 of Law 24/2013, of December 26, on the Electricity Sector (LSE).  </w:t>
        <w:br/>
        <w:t xml:space="preserve">According to Article 5.3 of Royal Decree 216/2014, of March 28, which establishes the methodology for calculating voluntary prices for the small consumer of electricity and its legal contracting regime, consumers with a contracted power equal to or less than 10 kW may benefit from the PVPC through the reference marketing company.  </w:t>
        <w:br/>
        <w:t xml:space="preserve">On the other hand, the social bonus is a discount on the electricity bill for those consumers considered vulnerable. The concept of vulnerable consumer is regulated in Article 45 of the LSE. Initially, the tenth transitional provision of the LSE established that until Article 45.1 was developed, individuals with a contracted power of less than 3 kW would be entitled to benefit from the social bonus.  </w:t>
        <w:br/>
        <w:t xml:space="preserve">The second final provision of Royal Decree-Law 7/2016, of December 23, which regulates the financing mechanism for the cost of the social bonus and other protective measures for vulnerable electricity consumers, provided for the regulatory development of Article 45.1 of the LSE concerning the definition of vulnerable consumers.  </w:t>
        <w:br/>
        <w:t xml:space="preserve">Therefore, Article 3.2.a) of Royal Decree 897/2017 provided as one of the criteria to benefit from the social bonus, among others, the income criterion of the household unit. This ended the transitional regime based on a criterion of contracted power.  </w:t>
        <w:br/>
        <w:t xml:space="preserve">Likewise, the first transitional provision of Royal Decree 897/2017 provides a period of six months for the change of model starting from the approval of the ministerial order that developed the application procedure. During the transitional period, beneficiaries of the social bonus could request their continuity according to the new requirements while continuing to benefit under their previous conditions.  </w:t>
        <w:br/>
        <w:t xml:space="preserve">Those who were benefiting from the social bonus but did not meet the new requirements or did not request its application would exceptionally maintain the social bonus during that transitional period of six months and would cease to enjoy it upon its expiration.  </w:t>
        <w:br/>
        <w:t xml:space="preserve">On October 9, 2017, Order ETU/943/2017, of October 6, was published, which developed Royal Decree 897/2017 and began the six-month period, which was to expire on April 10, 2018. However, four days before the expiration of the transitional period, Order ETU/361/2018, of April 6, was approved, which extended the transitional period until October 8, 2018.  </w:t>
        <w:br/>
        <w:t>Royal Decree-Law 15/2018, of October 5, on urgent measures for energy transition and consumer protection (hereinafter, Royal Decree-Law 15/2018) modifies the LSE, Royal Decree 897/2017, and Order ETU/943/2017. It establishes in its first transitional provision that consumers who were beneficiaries of the social bonus on October 7, 2017 and</w:t>
      </w:r>
    </w:p>
    <w:p>
      <w:r>
        <w:rPr>
          <w:b/>
        </w:rPr>
        <w:t>[Pages 7–9]</w:t>
      </w:r>
    </w:p>
    <w:p>
      <w:r>
        <w:t xml:space="preserve">that, meeting the requirements to receive the social bonus established in Royal Decree 897/2017, complete their application to renew the social bonus under the regulatory framework of Royal Decree 897/2017 after October 8, 2018, and in any case before December 31, 2018, will be granted the social bonus effective from October 8, 2018. The number of beneficiaries of the social bonus has been reduced due to the change to the income criterion through Royal Decree 897/2017, with a total of 1,658,916 in January 2018.  </w:t>
        <w:br/>
        <w:t xml:space="preserve">V. REPORTED FACTS  </w:t>
        <w:br/>
        <w:t xml:space="preserve">(1) According to the complaint filed by FACUA, HOLALUZ would have issued a commercial message on its website directed at vulnerable consumers who could not renew the social bonus, advising them to choose free market tariffs as they are cheaper. This message would have a misleading character that could induce vulnerable consumers to give up the PVPC, making it difficult to access the social bonus in the future.  </w:t>
        <w:br/>
        <w:t xml:space="preserve">(2) The advertising messages published on HOLALUZ's website stated:  </w:t>
        <w:br/>
        <w:t xml:space="preserve">- “If you lose the social bonus, it is definitely advisable to change companies and not be on the PVPC”  </w:t>
        <w:br/>
        <w:t xml:space="preserve">- “Starting next October 2018, 1,800,000 people will lose the social bonus and their current 25% discount on the electricity bill. All those who benefited from it just for having a contracted power of less than 3kW will stop having it! If you lose the social bonus, you will pay the PVPC like the rest of the consumers in the regulated market. This implies, approximately, a direct increase in your electricity bill of 33%. In that case, you can switch to the free market and choose a company that offers you a price always adjusted (cheaper than the PVPC and that helps you save on your bill)”  </w:t>
        <w:br/>
        <w:t xml:space="preserve">(3) The advertising messages were published on HOLALUZ's website between February 16, 2018, and April 16, 2018 (folios 8 to 15). The  </w:t>
        <w:br/>
        <w:t xml:space="preserve">7 See the data provided by the Energy Directorate of the CNMC in the resolution of the Competition Chamber of the CNMC of January 9, 2020, in file S/0015/19 SOCIAL BONUS.  </w:t>
        <w:br/>
        <w:t xml:space="preserve">S//0029/19 CLIDOM ENERGY National Commission of Markets and Competition Page 7 of 12  </w:t>
        <w:br/>
        <w:t xml:space="preserve">C/ Barquillo, 5 – 28004 Madrid - C/ Bolivia, 56 – 08018 Barcelona  </w:t>
        <w:br/>
        <w:t>www.cnmc.es</w:t>
      </w:r>
    </w:p>
    <w:p>
      <w:r>
        <w:t xml:space="preserve">FACUA association approached the company to warn that this phrase could be misleading, and HOLALUZ proceeded to withdraw the advertising message.  </w:t>
        <w:br/>
        <w:t xml:space="preserve">(4) During the two months the advertising campaign was active on the website, [8,000-10,000] company changes were made in favor of HOLALUZ, of which [8,000-10,000] contracts were ultimately activated. Only [0-2000] customers (a [0-5%] of the total changes of supplier) came from a tariff with a social bonus, most of whom were going to lose it due to the entry into force of Royal Decree 897/2017 (folios 50 to 61).  </w:t>
        <w:br/>
        <w:t xml:space="preserve">(5) In the months following the advertising campaign, the percentage of customers who came from a tariff with a social bonus and switched to HOLALUZ remained during the following months of 2018 [START CONFIDENTIAL] between [0-2]% and [2-4]% (folios 50 to 61).  </w:t>
        <w:br/>
        <w:t xml:space="preserve">(6) HOLALUZ's market share in the second quarter of 2018 reached 0.7% of the free market, compared to the 87.6% share held by the five traditional energy groups.  </w:t>
        <w:br/>
        <w:t xml:space="preserve">LEGAL GROUNDS  </w:t>
        <w:br/>
        <w:t xml:space="preserve">FIRST. - Competence to resolve  </w:t>
        <w:br/>
        <w:t xml:space="preserve">According to Article 5.1.c) of Law 3/2013, of June 4, creating the National Commission of Markets and Competition, it is the responsibility of the CNMC to “apply the provisions of Law 15/2007, of July 3, regarding conduct that prevents, restricts, and distorts competition.” Article 20.2 of the same law assigns the Council the function of “resolving the sanctioning procedures provided for in Law 15/2007, of July 3.”  </w:t>
        <w:br/>
        <w:t xml:space="preserve">Furthermore, Article 14.1.a) of the Organic Statute of the CNMC, approved by Royal Decree 657/2013, of August 30, establishes that “The Competition Chamber will hear matters related to the application of Law 15/2007, of July 3, on the Defense of Competition and with the activity of promoting competition in accordance with the provisions of Article 5 of Law 3/2013, of June 4.”  </w:t>
        <w:br/>
        <w:t xml:space="preserve">Consequently, the competence to resolve this procedure corresponds to the Competition Chamber of the CNMC Council.  </w:t>
        <w:br/>
        <w:t xml:space="preserve">8 Data available in the Report on the supervision of supplier changes – second quarter 2018 (File IS/DE/014/18)  </w:t>
        <w:br/>
        <w:t xml:space="preserve">S//0029/19 CLIDOM ENERGY National Commission of Markets and Competition Page 8 of 12  </w:t>
        <w:br/>
        <w:t xml:space="preserve">C/ Barquillo, 5 – 28004 Madrid - C/ Bolivia, 56 – 08018 Barcelona  </w:t>
        <w:br/>
        <w:t>www.cnmc.es</w:t>
      </w:r>
    </w:p>
    <w:p>
      <w:r>
        <w:t xml:space="preserve">SECOND. - Object of the resolution and proposal of the instructing body  </w:t>
        <w:br/>
        <w:t xml:space="preserve">This Chamber must assess in this resolution whether the requirements for the application of Article 49.3 of the LDC are met, that is, the absence of indications of infringement to agree not to initiate the sanctioning procedure and to archive the actions carried out so far.  </w:t>
        <w:br/>
        <w:t xml:space="preserve">It is therefore necessary to assess the absence of indications of the conduct of HOLALUZ, as proposed by the Competition Directorate, or whether, on the contrary, in these actions there could be indications of infringement of Article 3 of the LDC, which would motivate the initiation of the sanctioning file.  </w:t>
        <w:br/>
        <w:t xml:space="preserve">On the other hand, Article 27.1 of the Competition Defense Regulation (RDC), approved by Royal Decree 261/2008, of February 22, stipulates that: “1. In order for the Council of the National Commission of Competition [current CNMC] to agree not to initiate a procedure and archive the actions in the terms established in Articles 44 and 49.3 of Law 15/2007, of July 3, the Investigation Directorate [current Competition Directorate] will forward the received complaint, the prior actions carried out, if applicable, and a proposal for archiving.”  </w:t>
        <w:br/>
        <w:t xml:space="preserve">In the proposal for archiving of January 14, 2020, the DC proposed to this Chamber the non-initiation of the sanctioning procedure and the archiving of the actions, in accordance with the provisions of Article 49.3 of the LDC, as it considers that, in relation to the reported facts, there are no indications of infringement of the LDC.  </w:t>
        <w:br/>
        <w:t xml:space="preserve">THIRD. - Assessment of the Competition Chamber  </w:t>
        <w:br/>
        <w:t xml:space="preserve">In its complaint, FACUA only refers to the fact that the conduct of HOLALUZ could be susceptible to being classified as a conduct prohibited by Law 3/1991, of January 10, on unfair competition, without specifically referring to any of the infringements provided for in the LDC.  </w:t>
        <w:br/>
        <w:t xml:space="preserve">In this regard, this Chamber agrees with the Competition Directorate that the reported facts do not present indications of a possible infringement of Article 1 of the LDC, as there is no agreement between companies, nor as a possible infringement of Article 2 of the LDC, given the absence of a dominant position established by HOLALUZ.  </w:t>
        <w:br/>
        <w:t xml:space="preserve">S//0029/19 CLIDOM ENERGY National Commission of Markets and Competition Page 9 of 12  </w:t>
        <w:br/>
        <w:t xml:space="preserve">C/ Barquillo, 5 – 28004 Madrid - C/ Bolivia, 56 – 08018 Barcelona  </w:t>
        <w:br/>
        <w:t>www.cnmc.es</w:t>
      </w:r>
    </w:p>
    <w:p>
      <w:r>
        <w:rPr>
          <w:b/>
        </w:rPr>
        <w:t>[Pages 10–12]</w:t>
      </w:r>
    </w:p>
    <w:p>
      <w:r>
        <w:t>Therefore, the analysis of this Chamber must be limited to the possible existence of an infringement of Article 3 of the LDC, which prohibits the distortion of competition through unfair acts. Article 3 of the LDC establishes that “The National Competition Commission or the competent bodies of the Autonomous Communities shall know, in the terms established by this Law for prohibited conduct, of acts of unfair competition that, by distorting free competition, affect the public interest.” The prohibition of Article 3 of the LDC requires the concurrence of two requirements: - that there is an act of unfair competition typified in Law 3/1991, of January 10, on Unfair Competition (hereinafter, LCD), - and that such act affects the public interest by distorting competition in the market. First, it should be noted that, according to Article 86 ter of Organic Law 6/1985, of July 1, on the Judiciary (LOPJ), the Commercial Courts have jurisdiction to hear claims in which actions related to unfair competition are exercised. This Chamber is only authorized to sanction conduct deemed unfair when it distorts competition and affects the public interest. In this regard, the market subject to the complaint is particularly sensitive, and resolutions of this Chamber have recognized that the essential service condition of electricity supply, which is of great relevance to the consumer as it is a basic necessity service, and the position and characteristics of the companies reported, are relevant factors to demonstrate the impact on the public interest due to the distortion of competition in this sector. Likewise, the practices reported in this file affect consumers who are recipients of the electricity social bonus, who are especially protected by sector legislation. However, this Chamber observes from the facts recorded in this resolution that HOLALUZ's market share in the second quarter of 2018 amounted to 0.7% of the free market compared to 87.6% of the five main business groups. Furthermore, the duration of the advertising campaign was not prolonged, and the advertising message was withdrawn by the company itself at the request of FACUA. Finally, according to the data provided by the company itself, the advertising message did not lead to a significant increase in changes of supplier by the target consumers of the advertising message, that is, those who did not fall within the scope of application of the new conditions of the social bonus, either during or after the advertising campaign. This Chamber also does not share the premise stated in the complaint that the affected consumers face difficulties in accessing the social bonus in the future, as there is no legal impediment for them to reapply for it in the future, if they meet the conditions set forth in Article 3 of Royal Decree 897/2017. For all these reasons, this Chamber does not consider that HOLALUZ's conduct has sufficient substance to distort the proper functioning of the market, affecting the public interest. Consequently, as there is no impact on the public interest, it is not possible to recognize an infringement of Article 3 of the LDC, without the need to analyze whether the specific conduct reported constitutes an act of unfair competition or not. The above does not prevent the actions established in Article 32 of the LCD from being applicable, for which consumer and user associations are legitimized, among others, in accordance with Article 33 of the same law. Therefore, in view of the cited provisions and the others of general application, the Competition Chamber HAS RESOLVED UNIQUE.- Not to initiate sanctioning proceedings and to agree to the filing of the actions taken as a result of the complaint filed by FACUA CONSUMIDORES EN ACCIÓN against CLIDOM ENERGY S.L. (currently, HOLALUZ-CLIDOM S.A.) considering that there are no indications of an infringement of Article 3 of the LDC in this file. Communicate this resolution to the Competition Directorate and notify the interested party, informing them that this concludes the administrative process and that they may file an administrative contentious appeal against it before the National Court, within two months from the day following its notification. However, it is noted that, in accordance with the provisions of the second additional provision of Royal Decree 463/2020, of March 14, “terms are suspended and the deadlines established in procedural laws for all jurisdictional orders are suspended and interrupted. The computation of the deadlines will resume at the moment when this royal decree or, where appropriate, its extensions lose validity.”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