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https://www.cnmc.es/expedientes/s003007</w:t>
      </w:r>
    </w:p>
    <w:p>
      <w:r>
        <w:t>Pages translated : 5</w:t>
      </w:r>
    </w:p>
    <w:p/>
    <w:p>
      <w:r>
        <w:rPr>
          <w:b/>
        </w:rPr>
        <w:t>[Pages 1–3]</w:t>
      </w:r>
    </w:p>
    <w:p>
      <w:r>
        <w:t xml:space="preserve">RESOLUTION (Exp. S/0030/2007, Pharmaceutical Laboratories)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September 25, 2008  </w:t>
        <w:br/>
        <w:t xml:space="preserve">THE PLENARY of the Council of the National Competition Commission, with the composition expressed in the margin, has issued a RESOLUTION of which Mr. Councilor Fernando Torremocha y García-Sáenz was the Rapporteur, in the above-referenced File, promoted by SEDIFA S.L. and GRUFARMA 92 S.L., in which they reported Pfizer S.A., Janssen-Cilag S.A., Sanofi-Aventis España S.A., Novartis Farmacéutica S.A., Astra Zeneca Farmacéutica Spain S.A., and Boehringer Ingelheim España S.A., for an alleged collusion or consciously parallel practice in the termination of contracts signed with the complainants, which would violate Article 1 of Law 15/2007 of July 3, on the Defense of Competition.  </w:t>
        <w:br/>
        <w:t xml:space="preserve">BACKGROUND FACTS  </w:t>
        <w:br/>
        <w:t xml:space="preserve">FIRST.- The Directorate of Investigation became aware of the complaint filed and submitted to this Council of the National Competition Commission, on August 18, 2008, a Proposal for Filing based on the provisions of Article 49.3 of Law 15/2007 of July 3, on the Defense of Competition, in order to "not initiate the sanctioning procedure derived from the alleged commission of the prohibited conduct by Article 1, as well as the Filing of the proceedings followed as a consequence of the complaint filed by SEDIFA S.A. and GRUFARMA 92 S.A."  </w:t>
        <w:br/>
        <w:t>SECOND.- The Council of the National Competition Commission deliberated and ruled this Resolution in its meeting on September 24, 2008.</w:t>
      </w:r>
    </w:p>
    <w:p>
      <w:r>
        <w:t xml:space="preserve">THIRD.- The interested parties in the case as complainants are SEDIFA S.L. and GRUFARMA 92 S.L. and as defendants Pfizer S.A., Janssen-Cilag S.A., Sanofi-Aventis España S.A., Novartis Farmacéutica S.A., Astra Zeneca Farmacéutica Spain S.A., and Boehringer Ingelheim España S.A.  </w:t>
        <w:br/>
        <w:t xml:space="preserve">PROVEN FACTS  </w:t>
        <w:br/>
        <w:t xml:space="preserve">FIRST.- It is an established fact that SEDIFA and GRUFARMA, like other pharmaceutical product distributors, have received communications from the reported laboratories warning of the introduction of substantial changes in their distribution policy and announcing the termination of supply relationships. The date of sending the communications from the reported laboratories to the wholesale distributors terminating the commercial relationships; the number of wholesalers with whom they terminated; and the number of those are shown in the following  </w:t>
        <w:br/>
        <w:t xml:space="preserve">TABLE III  </w:t>
        <w:br/>
        <w:t xml:space="preserve">Date Date  </w:t>
        <w:br/>
        <w:t xml:space="preserve">Letters New  </w:t>
        <w:br/>
        <w:t xml:space="preserve">Laboratory sent termination  </w:t>
        <w:br/>
        <w:t xml:space="preserve">sent relationship  </w:t>
        <w:br/>
        <w:t xml:space="preserve">letter relationship  </w:t>
        <w:br/>
        <w:t xml:space="preserve">PFIZER 30/7/2003 31/01/2004 58(all) 21  </w:t>
        <w:br/>
        <w:t xml:space="preserve">J C 3/10/2006 1/3/2007 81(all) 31  </w:t>
        <w:br/>
        <w:t xml:space="preserve">SANOFI 1/6/2007 31/12/2007 116(all) 36  </w:t>
        <w:br/>
        <w:t xml:space="preserve">NOVARTIS 5/9/2007 1/3/2008 60 (all) 40 approx.  </w:t>
        <w:br/>
        <w:t xml:space="preserve">&gt;30  </w:t>
        <w:br/>
        <w:t xml:space="preserve">A Z 6/11/2007 6/5/2008 65 (all) 2/province  </w:t>
        <w:br/>
        <w:t xml:space="preserve">B I 30/11/2007 31/5/2008 88 (all) 37  </w:t>
        <w:br/>
        <w:t xml:space="preserve">Source: Data provided by the defendants  </w:t>
        <w:br/>
        <w:t xml:space="preserve">From this, it is inferred that the reported laboratories have terminated the commercial relationship with all those wholesalers with whom they had relationships at that time. The choice, by these laboratories, of the wholesale distributors with whom to establish new commercial relationships has been made following criteria of: territorial coverage, capacity to react to emergencies, conservation and transportation systems, information systems, and order management, and some of them have stated that they have preferentially opted for pharmaceutical cooperatives because they have greater penetration and proximity to pharmacies. In general, they have chosen those distributors with the largest market share and some local ones, such as wholesalers located in the archipelagos and in Ceuta and Melilla. However, the contracts that the complainants have signed with these wholesalers contemplate the possibility of indirect transactions, that is, resale between distributors.  </w:t>
        <w:br/>
        <w:t xml:space="preserve">SECOND.- PFIZER terminated its commercial relationships with the wholesalers on July 30, 2003, that is, three years before the other reported laboratories began to do so. In the letter sent by PFIZER to Grufarma on July 20, 2003, terminating the commercial relationship (it did not send it to Sedifa because it had no commercial relationships with this distributor), it specifically referred to the fact that the reduction in the number of warehouses with which they had commercial relationships was due to the integration of the businesses in Spain of PFIZER and PHARMACIA as a result of the global acquisition of the PHARMACIA GROUP by PFIZER, INC. This action by PFIZER to cease supply was reported by GRUFARMA in February 2004. The SDC considered that there was no infringement of Article 1 of Law 16/1989 because there was only one entity reported (the Pfizer group) and there was also no infringement of Article 6 because, although Pfizer could have a dominant position, given the characteristics of the market (totally regulated) that operator did not have independence of behavior. Taking the above into account, the SDC filed the complaint on January 14, 2005. The filing was not appealed, so it has become final.  </w:t>
        <w:br/>
        <w:t>THIRD.- Regarding the other reported laboratories and concerning the freedom of distribution, it is particularly relevant that the Court of First Instance No. 6 of Alcobendas was aware of the lawsuit filed by SEDIFA and GRUFARMA, in which they requested "to be supplied by Pfizer" invoking an alleged violation of Law 29/2006 on Guarantees and Rational Use of Medicines.</w:t>
      </w:r>
    </w:p>
    <w:p>
      <w:r>
        <w:rPr>
          <w:b/>
        </w:rPr>
        <w:t>[Pages 4–5]</w:t>
      </w:r>
    </w:p>
    <w:p>
      <w:r>
        <w:t>Both the lawsuit (Ordinary Trial 660/2006) and the subsequent Appeal filed against it were entirely dismissed.</w:t>
      </w:r>
    </w:p>
    <w:p>
      <w:r>
        <w:t>The Fourth Legal Basis of the judgment issued by the Court of First Instance No. 6 of Alcobendas states that "laboratories, always within the margin established by law, can freely choose those wholesale companies they deem appropriate for the distribution of their products, guided by various criteria, from market share, distribution areas, cost involved in their maintenance, etc. It cannot be inferred from the current regulation the existence of a generic obligation imposed on all laboratories to inevitably supply their products when requested by any wholesaler. Likewise, it cannot be said that there is a general obligation on the part of wholesale warehouses to have all pharmaceutical specialties existing in the market."</w:t>
      </w:r>
    </w:p>
    <w:p>
      <w:r>
        <w:t>FOURTH.- Finally, the dates on which the majority of the reported laboratories terminated contracts with the complainants range from March 2007 (J C) to May 2008 (B I). The fact that this behavior occurred generally starting in 2007 may be due to the entry into force of Law 29/2006, which has been previously referenced, and which, in its Article 90, established that the Government would set the prices of the medications included in the pharmaceutical provision of the National Health System and that were dispensed, through official prescription, in national territory, which required laboratories to know in which territory the medications had been dispensed in order to apply the price set by the Government.</w:t>
      </w:r>
    </w:p>
    <w:p>
      <w:r>
        <w:t>As a consequence of the above, commercial relationships with a large number of wholesalers complicated the obtaining of dispensing data and could be an explanation for the reduction in the number of wholesalers with whom they maintained commercial relationships. Furthermore, the provision of Article 68 of Law 29/2006 on Guarantees and Rational Use of Medicines allows and enables direct distribution to pharmacies.</w:t>
      </w:r>
    </w:p>
    <w:p>
      <w:r>
        <w:t>LEGAL GROUNDS</w:t>
      </w:r>
    </w:p>
    <w:p>
      <w:r>
        <w:t>SOLE.- Law 15/2007 of July 3, on the Defense of Competition, provides in section three of Article 49 that "the Council of the National Competition Commission, at the proposal of the Directorate of Investigation, may agree not to initiate proceedings arising from the alleged commission of the conduct prohibited by Articles 1, 2, and 3 of this Law and the filing of the proceedings when it considers that there are no indications of infringement of the Law."</w:t>
      </w:r>
    </w:p>
    <w:p>
      <w:r>
        <w:t>In light of the established proven facts, which are applicable under Law 29/2006 on Guarantees and Rational Use of Medicines (especially the provisions in Articles 90 and 68), lead this Council, under the provisions of Article 49.3 of Law 15/2007 of July 3, on the Defense of Competition and at the proposal of the Directorate of Investigation, to agree that it is not appropriate to initiate sanctioning proceedings and to file the proceedings.</w:t>
      </w:r>
    </w:p>
    <w:p>
      <w:r>
        <w:t>Having seen the cited provisions and others of general application, THE COUNCIL RESOLVES</w:t>
      </w:r>
    </w:p>
    <w:p>
      <w:r>
        <w:t>SOLE.- Not to initiate sanctioning proceedings and, therefore, to file the proceedings followed as a consequence of the complaint filed in its day by the commercial entities SEDIFA S.L. and GRUFARMA 92 S.L. against several pharmaceutical laboratories "for an alleged collusion or consciously parallel practice in the termination of binding distribution contracts," which would violate the provision of Article 1 of Law 15/2007 of July 3, on the Defense of Competition, based on the Proposal that the Directorate of Investigation submitted to this Council on August 18, 2008.</w:t>
      </w:r>
    </w:p>
    <w:p>
      <w:r>
        <w:t>This RESOLUTION shall be communicated to the Directorate of Investigation and notified to the interested parties, informing them that there is no administrative appeal against it, although they may resort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