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https://www.cnmc.es/expedientes/s003519</w:t>
      </w:r>
    </w:p>
    <w:p>
      <w:r>
        <w:t>Pages translated : 8</w:t>
      </w:r>
    </w:p>
    <w:p/>
    <w:p>
      <w:r>
        <w:rPr>
          <w:b/>
        </w:rPr>
        <w:t>[Pages 1–3]</w:t>
      </w:r>
    </w:p>
    <w:p>
      <w:r>
        <w:t xml:space="preserve">FEMALE FOOTBALL  </w:t>
        <w:br/>
        <w:t xml:space="preserve">S/0035/19  </w:t>
        <w:br/>
        <w:t xml:space="preserve">RESOLUTION  </w:t>
        <w:br/>
        <w:t xml:space="preserve">FEMALE FOOTBALL  </w:t>
        <w:br/>
        <w:t xml:space="preserve">S/0035/19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June 1, 2022  </w:t>
        <w:br/>
        <w:t xml:space="preserve">The Competition Chamber of the National Commission of Markets and Competition (CNMC), with the composition expressed, has issued the following resolution in the reference file processed regarding the complaint filed against the Royal Spanish Football Federation (RFEF) for alleged restrictive practices of competition contrary to Articles 2 and 3 of Law 15/2007, of July 3, on the Defense of Competition (LDC) and Article 102 of the Treaty on the Functioning of the European Union (TFEU).  </w:t>
        <w:br/>
        <w:t xml:space="preserve">National Commission of Markets and Competition 1 of 8  </w:t>
        <w:br/>
        <w:t xml:space="preserve">C/ Alcalá, 47 – 28014 Madrid - C/ Bolivia, 56 – 08018 Barcelona  </w:t>
        <w:br/>
        <w:t>www.cnmc.es</w:t>
      </w:r>
    </w:p>
    <w:p>
      <w:r>
        <w:t xml:space="preserve">FEMALE FOOTBALL  </w:t>
        <w:br/>
        <w:t xml:space="preserve">S/0035/19  </w:t>
        <w:br/>
        <w:t xml:space="preserve">I. BACKGROUND  </w:t>
        <w:br/>
        <w:t xml:space="preserve">(1) On July 4, 2019, the National Category Women's Football Clubs Association (ACFF) filed a complaint against the Royal Spanish Football Federation (RFEF) regarding the exploitation of audiovisual rights of certain clubs associated with the ACFF. The ACFF accompanies the complaint with a request for the adoption of precautionary measures consisting of the cessation of actions by the RFEF.  </w:t>
        <w:br/>
        <w:t xml:space="preserve">(2) On October 24 and November 4, 2019, MEDIAPRODUCCIÓN S.L.U. (MEDIAPRO) filed a complaint against RFEF for alleged conduct prohibited by Articles 102 of the TFEU and 2 of the LDC. MEDIAPRO accompanies the complaint with the adoption of precautionary measures consisting of ordering the RFEF to cease the reported actions.  </w:t>
        <w:br/>
        <w:t xml:space="preserve">(3) In the context of the reserved information initiated following the complaint, the DC sent requests for information to the ACFF, the RFEF, and MEDIAPRO, the responses to which were incorporated into the file.  </w:t>
        <w:br/>
        <w:t xml:space="preserve">(4) On September 7, 2020, the DC proposed not to initiate the sanctioning procedure and to archive the proceedings, in accordance with Article 49.3 of the LDC.  </w:t>
        <w:br/>
        <w:t xml:space="preserve">(5) The Competition Chamber of the CNMC approved this resolution in its meeting of June 1, 2022.  </w:t>
        <w:br/>
        <w:t xml:space="preserve">II. CONTENT OF THE COMPLAINTS  </w:t>
        <w:br/>
        <w:t xml:space="preserve">II.1. Complaint by ACFF  </w:t>
        <w:br/>
        <w:t xml:space="preserve">(6) The ACFF considers that the RFEF has abused its dominant position by carrying out the following actions:  </w:t>
        <w:br/>
        <w:t xml:space="preserve">- threats and pressures to the ACFF and the clubs that comprise it to transfer their audiovisual rights in order to be the only entity authorized to exploit them;  </w:t>
        <w:br/>
        <w:t xml:space="preserve">- the creation of a parallel women's competition to the existing one and granting the new competition exclusively the right to determine which clubs participate in European competitions; and  </w:t>
        <w:br/>
        <w:t xml:space="preserve">- the subordination of participation in the league to the transfer of the clubs' television rights to the RFEF.  </w:t>
        <w:br/>
        <w:t xml:space="preserve">(7) It also considers that Article 3 of the LDC has been violated, as it believes that the RFEF is attempting to alter the manner in which the audiovisual rights of the clubs are sold, preventing the ACFF from carrying out its mandate with the clubs in this regard.  </w:t>
        <w:br/>
        <w:t xml:space="preserve">II.2. Complaint by Mediapro  </w:t>
        <w:br/>
        <w:t xml:space="preserve">(8) MEDIAPRO reports an abuse of the dominant position of the RFEF in the market for organizing official football competitions. This abuse, it claims, has been perpetrated through the adoption of a series of measures aimed at preventing MEDIAPRO from acquiring and peacefully enjoying the audiovisual rights of certain women's football teams participating in the Primera Iberdrola competition, with the purpose of exploiting these rights.  </w:t>
        <w:br/>
        <w:t xml:space="preserve">(9) MEDIAPRO indicates that it has become aware that the RFEF has approached the clubs that have transferred the exploitation of their audiovisual rights to it, within the framework of the "Elite Women's Football Program," offering them a guaranteed benefit of 500,000 euros per season for 5 seasons. An offer significantly superior in economic terms and of greater duration than that established by the ACFF.  </w:t>
        <w:br/>
        <w:t xml:space="preserve">(10) It considers that, by limiting the scope of its authorization, the RFEF is imposing an unjustified limitation on the commercial exploitation of the audiovisual rights of the clubs affiliated with the ACFF and, ultimately, is hindering MEDIAPRO's peaceful enjoyment of its legitimately acquired rights.  </w:t>
        <w:br/>
        <w:t xml:space="preserve">II.3. Precautionary Measures  </w:t>
        <w:br/>
        <w:t xml:space="preserve">(11) Both the ACFF and MEDIAPRO have requested as a precautionary measure that the RFEF be ordered to cease and temporarily refrain from presenting itself as the holder of the audiovisual rights and/or from taking actions that directly or indirectly question the validity of the rights transfer made by the ACFF to MEDIAPRO. They also request that it refrain from taking new actions that directly or indirectly obstruct MEDIAPRO's peaceful enjoyment of the audiovisual rights legitimately acquired under the contract entered into with the ACFF.  </w:t>
        <w:br/>
        <w:t xml:space="preserve">National Commission of Markets and Competition 3 of 8  </w:t>
        <w:br/>
        <w:t xml:space="preserve">C/ Alcalá, 47 – 28014 Madrid - C/ Bolivia, 56 – 08018 Barcelona  </w:t>
        <w:br/>
        <w:t>www.cnmc.es</w:t>
      </w:r>
    </w:p>
    <w:p>
      <w:r>
        <w:rPr>
          <w:b/>
        </w:rPr>
        <w:t>[Pages 4–6]</w:t>
      </w:r>
    </w:p>
    <w:p>
      <w:r>
        <w:t xml:space="preserve">FEMALE FOOTBALL  </w:t>
        <w:br/>
        <w:t xml:space="preserve">S/0035/19  </w:t>
        <w:br/>
        <w:t xml:space="preserve">III. THE PARTIES  </w:t>
        <w:br/>
        <w:t xml:space="preserve">III.1. Complainants  </w:t>
        <w:br/>
        <w:t xml:space="preserve">III.1.A. NATIONAL CATEGORY FEMALE FOOTBALL CLUBS ASSOCIATION (ACFF)  </w:t>
        <w:br/>
        <w:t xml:space="preserve">(12) The ACFF was established on November 6, 2015, as a private association to promote, develop, organize, and encourage all types of activities that contribute to the progress and dissemination of female football, as well as to represent and defend the interests of its members.  </w:t>
        <w:br/>
        <w:t xml:space="preserve">In the 2018/19 season, the ACFF comprised 70 clubs, 63 of which participated in the national categories of Spanish female football, and included among its members 14 of the 16 teams that participated in the top category (Women's First Division) during the aforementioned season.  </w:t>
        <w:br/>
        <w:t xml:space="preserve">III.1.B. MEDIAPRODUCCION S.L.U. (MEDIAPRO)  </w:t>
        <w:br/>
        <w:t xml:space="preserve">(13) MEDIAPRO is a Spanish service provider of technical services for the audiovisual industry, producer and distributor of audiovisual content, manager and marketer of sports rights, film producer, and producer of interactive content. MEDIAPRO is part of the Imagina group.  </w:t>
        <w:br/>
        <w:t xml:space="preserve">III.2. Respondent  </w:t>
        <w:br/>
        <w:t xml:space="preserve">III.2.C. ROYAL SPANISH FOOTBALL FEDERATION  </w:t>
        <w:br/>
        <w:t xml:space="preserve">(14) The RFEF is a private associative entity, declared of public utility, established on September 29, 1909, registered in the Register of sports entities of the Higher Sports Council.  </w:t>
        <w:br/>
        <w:t xml:space="preserve">The RFEF is governed by Law 10/1990, of October 15, on Sport (“Sports Law”); by Royal Decree 1835/1991, of December 20, on Spanish Sports Federations (RD 1835/1991), and by its Statutes and its General Regulations. By virtue of Article 34 of the Sports Law, the RFEF encompasses the regional football federations (Territorial Federations).  </w:t>
        <w:br/>
        <w:t xml:space="preserve">The RFEF is assigned, among other functions, the task of qualifying and organizing official state-level football competitions, in accordance with the provisions of Article 33 of the Sports Law.  </w:t>
        <w:br/>
        <w:t xml:space="preserve">IV. RELEVANT MARKET  </w:t>
        <w:br/>
        <w:t xml:space="preserve">(15) The Chamber considers that the following are relevant markets for this case:  </w:t>
        <w:br/>
        <w:t xml:space="preserve">- The organization of non-professional official football competitions.  </w:t>
        <w:br/>
        <w:t xml:space="preserve">- The commercial exploitation of such non-professional official football competitions.  </w:t>
        <w:br/>
        <w:t xml:space="preserve">(However, narrower markets cannot be ruled out).  </w:t>
        <w:br/>
        <w:t xml:space="preserve">V. FACTS  </w:t>
        <w:br/>
        <w:t xml:space="preserve">(16) The women's football competition known as “Primera Iberdrola” is the highest female category within the football league system in Spain and is organized by the RFEF.  </w:t>
        <w:br/>
        <w:t xml:space="preserve">(17) In September 2018, 12 teams from the women's first division, all associated with the ACFF, adopted an agreement whereby they entrusted the ACFF with the joint marketing of the audiovisual rights of national competitions (League and Cup). The commission was formalized on January 30, 2019.  </w:t>
        <w:br/>
        <w:t xml:space="preserve">(18) In February 2019, the ACFF called for a tender for the aforementioned exploitation rights referred to in the agreement for the 2019/20, 2020/21, and 2021/22 seasons, without specifying the clubs whose rights were being marketed.  </w:t>
        <w:br/>
        <w:t xml:space="preserve">(19) On February 26, 2019, the RFEF issued a public statement questioning the legitimacy of the ACFF to tender for the aforementioned rights and stating that the clubs did not have the necessary authorization referred to in Article 198 of the RFEF General Regulations. (folios 558 to 560).  </w:t>
        <w:br/>
        <w:t xml:space="preserve">(20) On March 7, 2019, the ACFF awarded the aforementioned television rights for the matches of the “Primera Iberdrola” competition to MEDIAPRO for the 2019/2020 to 2021/2022 seasons.  </w:t>
        <w:br/>
        <w:t xml:space="preserve">(21) In that same month of March 2019, the RFEF announced the creation of a new model for women's football competitions, which would replace the previous one, and the implementation of a new project called “Elite Women's Football Program.” (folios 614 to 651). The Elite program is a strategic program to take the Spanish Women's National Team to participate in the 2023 World Cup and to qualify for the Paris 2024 Olympic Games. According to the RFEF, “this program implies a necessary capacity for the technical development of our senior, U23, U19, and U17 teams from this moment to arrive in optimal conditions for results in these competitions.”  </w:t>
        <w:br/>
        <w:t xml:space="preserve">On March 5, 2019, the RFEF Assembly approved the so-called new competition model (folios 568 to 583).  </w:t>
        <w:br/>
        <w:t xml:space="preserve">(22) On June 21, 2019, the RFEF presented the clubs with a document on the economic-organizational aspects of state-level women's football competitions, inviting the clubs to join, through an agreement, a model for the marketing of rights together with the RFEF, pooling the rights of the national team and the clubs (folio 712).  </w:t>
        <w:br/>
        <w:t xml:space="preserve">(23) On June 27, 2019, the RFEF sent the clubs circular no. 76 for their registration in the new competitions, with a deadline of July 15 (folios 1065 to 1070):  </w:t>
        <w:br/>
        <w:t xml:space="preserve">(24) On August 2, 2019, the RFEF again approached the clubs to send them a model of adhesion to its “Elite program,” to which clubs could voluntarily join for a period of 5 seasons starting in 2019/20, allowing each club to determine with some flexibility the rights it wishes to market jointly with the RFEF. The RFEF offers minimum revenues of 300,000 euros per season to the first division clubs and 62,500 euros to the second division clubs. This model includes, in addition to the audiovisual rights for broadcasting matches, TV backdrops, virtual perimeter advertising through UTV systems, sportswear advertising, and other assets (folio 1313).  </w:t>
        <w:br/>
        <w:t xml:space="preserve">(25) On August 29, 2019, the RFEF sent a new letter to the ACFF clubs demanding that they request authorization for the broadcasting of matches. In this letter, the RFEF again invoked, as the basis for its demand, Article 198 of its aforementioned General Regulations.  </w:t>
        <w:br/>
        <w:t xml:space="preserve">On September 11, 2019, the RFEF sent a letter to the clubs that had not accepted to participate in the management and marketing model of rights promoted by the RFEF (Elite Women's Football Program) to offer them “much higher revenues than those that their club may currently receive,” which would amount to 500,000 euros per season for first division clubs and 100,000 for second division clubs.  </w:t>
        <w:br/>
        <w:t>(26) One first division club and 18 second division clubs would have signed a contract for the transfer of audiovisual rights with the RFEF for a total of 4 seasons (folios 1006, 1317, and 1304).</w:t>
      </w:r>
    </w:p>
    <w:p>
      <w:r>
        <w:rPr>
          <w:b/>
        </w:rPr>
        <w:t>[Pages 7–8]</w:t>
      </w:r>
    </w:p>
    <w:p>
      <w:r>
        <w:t xml:space="preserve">FEMALE FOOTBALL  </w:t>
        <w:br/>
        <w:t xml:space="preserve">S/0035/19  </w:t>
        <w:br/>
        <w:t xml:space="preserve">(27) According to the available information, the RFEF has authorized all requests made by the clubs for the television broadcasting of matches in the official women's football competitions, granting them only for the matches that the club holds as the home team in the "Iberdrola league," under the aforementioned Article 198 of the RFEF Regulations (folios 1059, 1060, 1302, and 1311).  </w:t>
        <w:br/>
        <w:t xml:space="preserve">(28) The RFEF has initiated disciplinary proceedings against certain clubs for non-compliance with Article 198 of its General Regulations, for having broadcast matches without the authorization of the RFEF (folios 1057, 1058, and 1301).  </w:t>
        <w:br/>
        <w:t xml:space="preserve">(29) On November 13, 2019, Sevilla FC Club stated that it had signed a contract with MEDIAPRO to transfer the exploitation of its audiovisual rights to the latter.  </w:t>
        <w:br/>
        <w:t xml:space="preserve">VI. LEGAL GROUNDS  </w:t>
        <w:br/>
        <w:t xml:space="preserve">VI.1. [FIRST] Competence to Resolve  </w:t>
        <w:br/>
        <w:t xml:space="preserve">(30) The competence to resolve this procedure corresponds to the Competition Chamber of the CNMC Council, in accordance with Articles 5.1.c) of the Law creating the CNMC and 14.1.a) of the Organic Statute of the CNMC.  </w:t>
        <w:br/>
        <w:t xml:space="preserve">VI.2. [SECOND] Assessment by the Competition Chamber  </w:t>
        <w:br/>
        <w:t xml:space="preserve">(31) To establish the existence of an abusive dominant position practice, in accordance with Article 2 of the LDC, it is necessary, first, to determine whether an entity has a dominant position in the defined relevant markets and, secondly, to examine whether the conduct it carries out constitutes an abuse.  </w:t>
        <w:br/>
        <w:t xml:space="preserve">(32) Specifically, from the concurrence of both requirements, the existence of a prohibited abusive practice must be inferred with sufficient certainty, consisting of the exclusive attribution of the exploitation of the audiovisual rights of the clubs associated with the ACFF.  </w:t>
        <w:br/>
        <w:t xml:space="preserve">(33) This analysis must be carried out based on the specific proven facts in this file and the conduct of the RFEF during the period referred to in the instruction.  </w:t>
        <w:br/>
        <w:t xml:space="preserve">(34) In the opinion of this Chamber, it cannot be ruled out that the RFEF has a dominant position in the market for organizing official non-professional football competitions in Spain. However, from the background presented, the concurrence of the second of the requirements that make up the infringing type is not proven with the required degree of certainty.  </w:t>
        <w:br/>
        <w:t xml:space="preserve">(35) It has also not been proven that such conduct is capable of seriously distorting the affected markets, so it cannot be considered that they could distort competition affecting the public interest, as required by Article 3 of the LCD.  </w:t>
        <w:br/>
        <w:t xml:space="preserve">(36) In light of all that has been acted upon and in accordance with Article 50.4 of the LDC, this Chamber considers that a prohibited practice as provided for in Articles 2 and 3 of the LDC has not been proven on the part of the RFEF, so the proceedings regarding these alleged conducts should be archived.  </w:t>
        <w:br/>
        <w:t xml:space="preserve">VII. RESOLVES  </w:t>
        <w:br/>
        <w:t xml:space="preserve">First. Not to initiate sanctioning proceedings and to archive the actions taken in the framework of this file, in accordance with Article 49.3 of the LDC.  </w:t>
        <w:br/>
        <w:t xml:space="preserve">Second. There is no basis for the adoption of the precautionary measures requested by ACFF and MEDIAPRO in their respective complaint writings.  </w:t>
        <w:br/>
        <w:t xml:space="preserve">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in the National Court within two months from the day following its notification.  </w:t>
        <w:br/>
        <w:t xml:space="preserve">Comisión Nacional de los Mercados y la Competencia 8 de 8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