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https://www.cnmc.es/expedientes/s003708</w:t>
      </w:r>
    </w:p>
    <w:p>
      <w:r>
        <w:t>Pages translated : 18</w:t>
      </w:r>
    </w:p>
    <w:p/>
    <w:p>
      <w:r>
        <w:rPr>
          <w:b/>
        </w:rPr>
        <w:t>[Pages 1–3]</w:t>
      </w:r>
    </w:p>
    <w:p>
      <w:r>
        <w:t xml:space="preserve">Id. Cendoj: 28079230062013100122  </w:t>
        <w:br/>
        <w:t xml:space="preserve">Body: National Court. Contentious Chamber  </w:t>
        <w:br/>
        <w:t xml:space="preserve">Venue: Madrid  </w:t>
        <w:br/>
        <w:t xml:space="preserve">Section: 6  </w:t>
        <w:br/>
        <w:t xml:space="preserve">Resolution No.:  </w:t>
        <w:br/>
        <w:t xml:space="preserve">Date of Resolution: 03/20/2013  </w:t>
        <w:br/>
        <w:t xml:space="preserve">Appeal No.: 866/2009  </w:t>
        <w:br/>
        <w:t xml:space="preserve">Jurisdiction: Contentious  </w:t>
        <w:br/>
        <w:t xml:space="preserve">Rapporteur: LUCIA ACIN AGUADO  </w:t>
        <w:br/>
        <w:t xml:space="preserve">Procedure: CONTENTIOUS  </w:t>
        <w:br/>
        <w:t xml:space="preserve">Type of Resolution: Judgment  </w:t>
        <w:br/>
        <w:t xml:space="preserve">Summary:  </w:t>
        <w:br/>
        <w:t xml:space="preserve">Defense of Competition. Decennial Insurance.  </w:t>
        <w:br/>
        <w:t xml:space="preserve">Language:  </w:t>
        <w:br/>
        <w:t xml:space="preserve">Spanish  </w:t>
        <w:br/>
        <w:t xml:space="preserve">JUDGMENT  </w:t>
        <w:br/>
        <w:t xml:space="preserve">Madrid, on the twentieth of March two thousand thirteen.  </w:t>
        <w:br/>
        <w:t xml:space="preserve">Having seen the contentious-administrative appeal No. 866/2009 filed before this Sixth Section of the Contentious-Administrative Chamber of the National Court by MAPFRE RE COMPAÑÍA DE REASEGUROS SA AND MAPFRE EMPRESAS COMPAÑÍA DE SEGUROS Y REASEGUROS represented by the Attorney of the Courts Ms. Alicia Casado Deleito against the resolution of the Council of the National Competition Commission (CNC) of November 12, 2009 (Decennial Insurance Companies, file S/0037/08). The defendant Administration has been represented and defended by the State Attorney. The amount of the appeal is 21,632,000 euros.  </w:t>
        <w:br/>
        <w:t xml:space="preserve">FACTUAL BACKGROUND  </w:t>
        <w:br/>
        <w:t xml:space="preserve">FIRST: On November 12, 2009, the Council of the National Competition Commission issued a resolution in file S/0037/08 Decennial Insurance Companies, the operative part of which establishes the following:  </w:t>
        <w:br/>
        <w:t xml:space="preserve">"FIRST.- Declare that in this file the existence of an agreement to set minimum prices in the decennial insurance for building damage has been proven, prohibited by Article 81.1(a) of the EC Treaty and by Article 1.1(a) of Law 16/1989, on the Defense of Competition.  </w:t>
        <w:br/>
        <w:t xml:space="preserve">SECOND.- Declare ASEFA, S.A. COMPAÑÍA ESPAÑOLA DE SEGUROS Y REASEGUROS; MAPFRE EMPRESAS COMPAÑÍA DE SEGUROS Y REASEGUROS, S.A.; MAPFRE RE COMPAÑÍA DE REASEGUROS, S.A.; CAJA DE SEGUROS REUNIDOS, COMPAÑÍA DE SEGUROS Y REASEGUROS, S.A.; SCOR GLOBAL P&amp;C, S.E.; MUNCHENER RUCKVERSICHERUNGS-GESELLSCHAFT AKTIENGESELLSCHAFT IN MUNCHEN; SWISS REINSURANCE COMPANY; and SUIZA DE REASEGUROS IBÉRICA, AGENCIA DE REASEGUROS, S.A. responsible for this infringement.  </w:t>
        <w:br/>
        <w:t xml:space="preserve">THIRD.- Impose a fine of:  </w:t>
        <w:br/>
        <w:t xml:space="preserve">27,759,000 Euros on ASEFA, S.A. COMPAÑÍA ESPAÑOLA DE SEGUROS Y REASEGUROS.  </w:t>
        <w:br/>
        <w:t xml:space="preserve">21,632,000 Euros on MAPFRE EMPRESAS COMPAÑÍA DE SEGUROS Y REASEGUROS, S.A. and MAPFRE RE COMPAÑÍA DE REASEGUROS, S.A.  </w:t>
        <w:br/>
        <w:t xml:space="preserve">14,241,000 Euros on CAJA DE SEGUROS REUNIDOS, COMPAÑÍA DE SEGUROS Y REASEGUROS, S.A.  </w:t>
        <w:br/>
        <w:t xml:space="preserve">8,599,000 Euros on SCOR GLOBAL P&amp;C, S.E.  </w:t>
        <w:br/>
        <w:t xml:space="preserve">15,856,000 Euros on MUNCHENER RUCKVERSICHERUNGS-GESELLSCHAFT AKTIENGESELLSCHAFT IN MUNCHEN.  </w:t>
        <w:br/>
        <w:t xml:space="preserve">22,641,000 Euros on SWISS REINSURANCE COMPANY and SUIZA DE REASEGUROS IBÉRICA, AGENCIA DE REASEGUROS, S.A.  </w:t>
        <w:br/>
        <w:t xml:space="preserve">FOURTH.- Order all sanctioned companies to publish this Resolution in the Official State Gazette, and its operative part in the economy section of two national newspapers with the widest circulation, at the expense of the authors of the infringement. In case of non-compliance, a coercive fine of €600 will be imposed on each of them for each day of delay.  </w:t>
        <w:br/>
        <w:t xml:space="preserve">FIFTH.- Order the sanctioned companies to justify before the Directorate of Investigation of the National Competition Commission the compliance with the obligations imposed in the previous sections.  </w:t>
        <w:br/>
        <w:t xml:space="preserve">SIXTH.- Order the sanctioned companies to refrain from engaging in similar conduct in the future.  </w:t>
        <w:br/>
        <w:t xml:space="preserve">SEVENTH.- Urge the Directorate of Investigation of the CNC to monitor compliance with this Resolution."  </w:t>
        <w:br/>
        <w:t xml:space="preserve">SECOND: The legal representation of the plaintiff filed a contentious-administrative appeal on December 21, 2009, against the act indicated in the previous factual background before this Contentious-Administrative Chamber of the National Court. It was assigned to the sixth section where it was admitted for processing, requesting the administrative file. A claim was filed on July 13, 2011, requesting "to consider the contentious-administrative claim against the resolution of the CNC Council adopted on November 12, 2009, in file S/0037/08 'Decennial Insurance Companies' to be formulated in time and form, a resolution that must be declared contrary to law and as a consequence of this annulled all its declarations and intimations, including the fine imposed in the resolution on my clients, with express imposition of costs on the defendant Administration."  </w:t>
        <w:br/>
        <w:t xml:space="preserve">The State Attorney was summoned, who responded to the claim by means of a written statement dated October 20, 2011.  </w:t>
        <w:br/>
        <w:t xml:space="preserve">Upon requesting the admission of evidence and having conducted the relevant declarations, conclusions were presented by the parties. The proceedings were pending scheduling for voting and judgment on February 5, 2013, which was set for March 5, 2013.  </w:t>
        <w:br/>
        <w:t xml:space="preserve">HAVING SEEN the legal articles cited by the parties and others of general and pertinent application, and with Doña LUCIA ACIN AGUADO, Magistrate of the Section, as the Rapporteur.  </w:t>
        <w:br/>
        <w:t xml:space="preserve">LEGAL GROUNDS  </w:t>
        <w:br/>
        <w:t xml:space="preserve">FIRST: The contested act is the resolution of November 12, 2009, by the Council of the National Competition Commission, file S/0037/08 Decennial Insurance Companies.  </w:t>
        <w:br/>
        <w:t xml:space="preserve">The resolution declares proven the existence of an agreement to set minimum prices in the decennial insurance for building damage, constituting a single, complex, and continuous infringement of Article 1.1 of Law 16/1989 by Article 81.1(a) of the EC Treaty and by Article 1.1(a) of Law 16/1989, on the Defense of Competition.  </w:t>
        <w:br/>
        <w:t xml:space="preserve">The CNC specifies (folio 59) that the accusation refers to an agreement between competing companies in two bands, between the three main insurers on one side and the three main reinsurers of the SDD on the other, to set minimum prices for the entire direct insurance market, applicable to the best risk, since sometimes a supplementary rate is added to that minimum rate if the technical characteristics of the buildings determine a higher risk (number of basements, number of floors above ground, etc.), a supplementary rate to which the agreement would not have extended, nor to the surcharges or discounts based on the type of soil, slope, groundwater level, foundation, type of structure, etc., that some companies apply.  </w:t>
        <w:br/>
        <w:t xml:space="preserve">The CNC in the seventh legal ground (folio 64 of the contested resolution) states that the infringement began in 2001 with the contacts maintained between insurers MAPFRE EMPRESAS and ASEFA on one side, and reinsurers SCOR, MUNCHENER (also referred to as MRSEP) and SUIZA on the other, with the aim of setting minimum prices for the SDD introduced by the LOE. These contacts and exchange of information culminated in the document, prepared by ASEFA and sent to the other cartelized companies, called "corrective measures SDD-2002," in which, in addition to technical criteria for assessing the cost of coverage for decennial damage to buildings, minimum rates, minimum premiums, minimum surcharges, and minimum values per square meter constructed were agreed upon.  </w:t>
        <w:br/>
        <w:t>This anticompetitive agreement was implemented in 2002 through coordinated behaviors, legally qualifying as concerted practices, carried out by the companies that designed the minimum price agreement, with the aim that it would be applied not only by them but by the entire sector (folio 6459 confidential AUSBANC), for which they transferred the minimum price agreement to the underwriting and pricing guides or manuals used by insurers to price risks, which were imposed by the reinsurers on the rest of the market through their inclusion as an integral part of the proportional obligatory reinsurance contracts agreed with the ceding insurers.</w:t>
      </w:r>
    </w:p>
    <w:p>
      <w:r>
        <w:rPr>
          <w:b/>
        </w:rPr>
        <w:t>[Pages 4–6]</w:t>
      </w:r>
    </w:p>
    <w:p>
      <w:r>
        <w:t xml:space="preserve">period of seven days. Therefore, if the evidentiary incident does not conclude until the parties involved in the procedure have submitted arguments evaluating the outcome of the proceedings, the lifting of the suspension is not appropriate until that period has elapsed.  </w:t>
        <w:br/>
        <w:t xml:space="preserve">The pricing guidelines, whose predecessor was the document referred to as "corrective measures," include the minimum prices and other pricing criteria that affect the price of insurance. Specifically, they establish:  </w:t>
        <w:br/>
        <w:t xml:space="preserve">The same minimum rates applicable to the best risk (0.55% for block housing and 0.7% for single-family homes in the case of the basic guarantee, which is mandatory).  </w:t>
        <w:br/>
        <w:t xml:space="preserve">Identical minimum rates for other optional coverages such as stability of non-load-bearing facades, waterproofing of facades and roofs, revaluation of insured sums, etc.  </w:t>
        <w:br/>
        <w:t xml:space="preserve">The same surcharges for waiving the right to appeal.  </w:t>
        <w:br/>
        <w:t xml:space="preserve">The same minimum premiums (among others, 2,000 euros per policy and 600 euros per dwelling for the basic guarantee).  </w:t>
        <w:br/>
        <w:t xml:space="preserve">Identical reference values per square meter constructed by provinces to correct declared values of the work that are too low, which could imply lower premiums.  </w:t>
        <w:br/>
        <w:t xml:space="preserve">The agreement on minimum prices was continuously applied from 2002 to 2007, during which the five initial companies (ASEFA, MAPFRE EMPRESAS, SCOR, MRSEP, and SUIZA) were joined by MAPFRE RE (which applied it since 2002) and CASER (since 2006), and during which the defendants developed various coordinated practices to monitor the agreement, as well as pressure and boycott against companies that had not applied or intended not to apply the agreed minimum prices.  </w:t>
        <w:br/>
        <w:t xml:space="preserve">The substantive law applied has been Law 16/1989, although the processing has been carried out in accordance with the procedural rules of Law 15/2007 according to its first transitional provision.  </w:t>
        <w:br/>
        <w:t xml:space="preserve">SECOND: In order to substantiate the appeal, the plaintiff makes the following allegations:  </w:t>
        <w:br/>
        <w:t xml:space="preserve">1) Expiration of the sanctioning procedure since the maximum period to resolve the administrative file and the periods during which the procedure was suspended expired on October 5, 2009.  </w:t>
        <w:br/>
        <w:t xml:space="preserve">2) Unjustified denial of the request for a hearing despite the complexity of the file and the seriousness of the allegations made.  </w:t>
        <w:br/>
        <w:t xml:space="preserve">3) Access has not been granted to the part of the file considered confidential, despite the fact that part of the data it contains refers exclusively to the appellants. Of particular importance is the fact that the turnover figure that the CNC has taken as the basis for calculating the sanction is still not available, which prevents verification of whether those calculations have been carried out correctly.  </w:t>
        <w:br/>
        <w:t xml:space="preserve">4) The resolution makes a legal assessment of the facts different from that made by the DI without having granted a period for submitting allegations as is required.  </w:t>
        <w:br/>
        <w:t xml:space="preserve">5) Error in the assessment of the evidence.  </w:t>
        <w:br/>
        <w:t xml:space="preserve">6) Existence of an alternative explanation.  </w:t>
        <w:br/>
        <w:t xml:space="preserve">7) Concurrence of the requirements of section three of Articles 1 LDC and 101 TFEU.  </w:t>
        <w:br/>
        <w:t xml:space="preserve">8) Absence of the subjective element of liability.  </w:t>
        <w:br/>
        <w:t xml:space="preserve">9) In a subsidiary manner, the imposed sanction violates the principle of proportionality.  </w:t>
        <w:br/>
        <w:t xml:space="preserve">This Chamber has already issued four judgments regarding the resolution here contested, annulling it in the part that imputes to the corresponding appellant company the commission of a restrictive conduct of competition with the imposition of the corresponding sanction: judgment of December 14, 2012 (appeal 869/2009) concerning Caser, judgment of December 18, 2012 (appeal 861/2009) concerning Munchener, judgment of December 18, 2012 (appeal 865/2009) concerning SCOR GLOBAL, and judgment of January 4, 2013 (appeal 864/2009) concerning ASEFA, which basically reproduces the two judgments of December 18, 2012 (appeals 861/2009 and 865/2009).  </w:t>
        <w:br/>
        <w:t xml:space="preserve">The content of the judgments issued in relation to the same resolution but different appellants may differ in their reasoning as the participation of the interested parties is different and the claims and reasons alleged are different. As noted by the judgment of the Court of First Instance (Extended Third Chamber) of April 20, 1999, case Limburgse Vinyl Maatschappij/Commission T-305/94, T-306/94, T-307/94 and others "(7) A Decision of the Commission declaring the existence of infringements of Article 85 of the Treaty with respect to several companies and imposing a fine on each of them must be analyzed as a set of individual Decisions, despite being drafted and published in the form of a single Decision."  </w:t>
        <w:br/>
        <w:t xml:space="preserve">On the other hand, as stated in Article 33.1 of Law 29/1998, "The bodies of the contentious-administrative jurisdiction shall judge within the limits of the claims made by the parties and the reasons that substantiate the appeal and the opposition."  </w:t>
        <w:br/>
        <w:t xml:space="preserve">Now, in cases where the issues and allegations are similar, it is not objectionable to refer to the arguments made in previous judgments, not in cases where there is no identity of claims and reasons. Thus, the judgment of the Supreme Court of October 5, 2009 states "in a similar case of appeals directed against the same administrative resolution, by subjects who are in the same procedural position and based on substantially similar issues and allegations, it is not objectionable to resort to the procedure adopted by the Court of instance to collect the main conclusions adopted in one of such appeals and extend them to the other appeal. For the accusation of omission of incongruity and/or lack of sufficient motivation to be considered founded, the party should specifically demonstrate what specific and different claim from those referred to by the Judgment being appealed has not been answered and what essential allegation for the decision on such claims was not expressly or implicitly rejected in the summarized response offered by the judging Chamber, whose argumentative development is detailed in the Judgment to which reference is made."  </w:t>
        <w:br/>
        <w:t>Having established the above, it is appropriate to analyze the reasons alleged by the appellant, first the formal ones and subsequently the substantive ones.</w:t>
      </w:r>
    </w:p>
    <w:p>
      <w:r>
        <w:t xml:space="preserve">THIRD: The appellant considers that the procedure expired seven days before the resolution was issued and has therefore been issued after the maximum period of 18 months from the initiation of the sanctioning file to its resolution, as provided in Article 36.1 of the Competition Defense Law 15/2007 (hereinafter LDC 2007). The consequence, in accordance with Article 44.2 of Law 30/92 of November 26, is that the resolution is declared null and void as it was issued after the legally established maximum period had elapsed.  </w:t>
        <w:br/>
        <w:t xml:space="preserve">The appellant understands that the 18-month period from the initiation of the file to the notification of the resolution that concludes the sanctioning file has been exceeded, since although it admits that the maximum duration of the procedure may be suspended for the reasons provided in Article 37 of LDC 15/2007, the Competition Defense Regulation approved by Royal Decree 261/2008, of February 22 (hereinafter RDC 2008) establishes the period until which the suspension extends. Specifically, Article 37.1 LDC 2007 establishes that the maximum may be interrupted e) "When the Council of the National Competition Commission agrees to the practice of evidence or complementary actions in accordance with the provisions of Article 51" and Article 12 of RDC 2008 establishes the period in which the computation of the period must be understood as suspended for each of the cases of suspension in Article 37 of the Law and in relation to the case of Article 3.1 e) states in section 1 b) "in the case provided for in Article 37.1.e) of Law 15/2007, of July 3, during the time necessary for the incorporation of the results of the evidence or complementary actions into the file." From this, the appellant deduces that the suspension period covers exclusively until the results of the evidence are incorporated but not the period for allegations provided in Article 51.1 LDC, which establishes that "The Council of the National Competition Commission may order, ex officio or at the request of any interested party, the practice of evidence different from those already practiced before the Directorate of Investigation in the instruction phase as well as the performance of complementary actions in order to clarify precise issues for the formation of its judgment. The agreement to practice evidence and carry out complementary actions will be notified to the interested parties, granting a period of seven days to submit the allegations they deem pertinent. This agreement will set, whenever possible, the deadline for its execution."  </w:t>
        <w:br/>
        <w:t>Certainly, the literal wording of Article 12.1 RDC 2008 allows for the conclusion that the appellant supports (referring to the fact that the suspension period covers until the results of the evidence practiced are incorporated into the file and does not include the period for allegations) by establishing that the suspension period covers "in the case provided for in Article 37.1.e) of Law 15/2007, of July 3, during the time necessary for the incorporation of the results of the evidence or complementary actions into the file." However, it is necessary to integrate that section with what is established in section 12.2 RDC 2008, which states that "for the lifting of the suspension of the maximum period, the competent body of the National Competition Commission must issue a new agreement in which it will be determined that the computation of the period is understood to be resumed from the day following the resolution of the incident that led to the suspension and the new date of the maximum period to resolve the procedure. This agreement to lift the suspension will also be notified to the interested parties." Therefore, it can only be understood that the computation of the period is resumed "from the day following the resolution of the incident that led to the suspension" and in accordance with Article 51.1 LDC 2007, the incident encompasses not only the practice of evidence but expressly establishes a procedure for allegations for a...</w:t>
      </w:r>
    </w:p>
    <w:p>
      <w:r>
        <w:rPr>
          <w:b/>
        </w:rPr>
        <w:t>[Pages 7–9]</w:t>
      </w:r>
    </w:p>
    <w:p>
      <w:r>
        <w:t>legal in which it occurred. They argue that the discussions were aimed solely at improving risk assessment and management practices, rather than at fixing prices or engaging in anti-competitive behavior.</w:t>
      </w:r>
    </w:p>
    <w:p>
      <w:r>
        <w:t>SIXTH: The appellant also contends that the evidence presented does not support the conclusions drawn by the CNC regarding the existence of an agreement to set minimum prices. They assert that the mere existence of meetings and exchanges of information does not equate to collusion or an agreement to fix prices, and that the CNC has failed to demonstrate that any such agreement was reached.</w:t>
      </w:r>
    </w:p>
    <w:p>
      <w:r>
        <w:t>SEVENTH: In light of the above, the appellant requests that the resolution be annulled, arguing that the evidence does not substantiate the claims made against them and that the legal framework applicable to the case has not been correctly interpreted or applied.</w:t>
      </w:r>
    </w:p>
    <w:p>
      <w:r>
        <w:t>EIGHTH: The Council, however, maintains that the evidence collected during the investigation clearly indicates a coordinated effort among the companies involved to establish minimum pricing practices, which constitutes a violation of competition law. The Council emphasizes that the exchanges of information went beyond mere technical discussions and were aimed at influencing market behavior.</w:t>
      </w:r>
    </w:p>
    <w:p>
      <w:r>
        <w:t>NINTH: The Council concludes that the actions of the companies involved have had a detrimental effect on competition in the insurance market, leading to higher prices for consumers and a reduction in market efficiency. Therefore, the Council affirms the validity of the resolution and the penalties imposed on the companies.</w:t>
      </w:r>
    </w:p>
    <w:p>
      <w:r>
        <w:t>TENTH: In summary, the Council finds that the evidence supports the conclusion that the companies engaged in anti-competitive practices by coordinating their pricing strategies, and that the legal provisions governing competition have been appropriately applied in this case. The appeal is therefore dismissed.</w:t>
      </w:r>
    </w:p>
    <w:p>
      <w:r>
        <w:rPr>
          <w:b/>
        </w:rPr>
        <w:t>[Pages 10–12]</w:t>
      </w:r>
    </w:p>
    <w:p>
      <w:r>
        <w:t>file had as its sole purpose to exchange strictly technical information related to the cost of coverage for decennial risk for homes, and not with the commercial price of the insurance, and they add that this exchange and consensus must be analyzed in the economic and legal context in which it occurred, which is schematically as follows: the implementation by the LOE of the SDD implied the need to cover a "new risk" for the purposes of Article 2.7 of Regulation EC 358/03 of the Commission, relating to the application of Article 81.3 of the TCE to certain categories of agreements in the insurance sector, which replaced Regulation EC 3932/92 as of April 1, 2003. A new risk for which, according to the investigated companies, there was no statistical information and claims experience that would allow for a correct assessment of it for the determination of premiums. That is, the insurers and reinsurers individually lacked the necessary information to avoid situations of underinsurance and insufficient premiums, in a type of insurance that has a long maturation period (+10 years) and in which, due to its mandatory nature, a high level of contracting was anticipated. In this legal and economic context, it became necessary to resort to the modality of obligatory proportional reinsurance or quota share, which allows the insurer to cede a very high percentage of the insured risk to one or several reinsurers. Given this fact (that the reinsurers accepted a high percentage of the risk assumed by the cedent), it would be logical for them to condition the subscription of the obligatory proportional reinsurance contract on the observance by the ceding insurer of particularly prudent conditions, which would guarantee the stability and sufficiency of the premiums contained in the SDD contract signed with the policyholder.</w:t>
      </w:r>
    </w:p>
    <w:p>
      <w:r>
        <w:t>The contested resolution responds to this allegation by stating that the agreements of obligatory proportional reinsurance, which could be classified as vertical agreements or agreements between non-competitors, do not in themselves form part of this complex infringement attributed. The antitrust reproach lies in the concerted origin of the conduct of the accused reinsurers imposing the agreed minimum price agreement with the insurers ASEFA and MAPFRE EMPRESAS on the rest of the direct insurance market, through its inclusion (agreed with them) in the pricing guidelines that are annexed to the obligatory proportional reinsurance contracts as an integral part of their mandatory content. That is, the requirement of the accused reinsurers to (all) their cedents to respect minimum prices in the direct insurance contracts for building damage is considered an integral part of the complex infringement attributed, to the extent and only to the extent that it has a concerted origin, as a practice through which the reinsurers materialize the often-mentioned agreement on the establishment of minimum prices recorded in the document "corrective measures SDD-2002" of December 5, 2001 (folio 65 of the contested resolution).</w:t>
      </w:r>
    </w:p>
    <w:p>
      <w:r>
        <w:t>In accordance with this, those insurers that did not participate in the formation of the minimum prices but applied them through the guidelines or underwriting manuals annexed to the reinsurance contracts were not sanctioned, considering that the application of the agreement was mandatory as it was imposed by the reinsurers and therefore had a passive intervention (Mussat, Sabadell Aseguradora, Catalana de Occidente, Vitalicio) and in relation to CASER, there is a particularity "However, there being no documentary evidence in the file that CASER participated in the formation of the minimum price agreement, it is necessary to conclude that the application of the same was imposed on it by the concerted reinsurers (which are its main reinsurers, HP 1.2). However, there is documentary evidence that CASER at some point went from being a passive subject of the agreement to developing an active role in its application and defense against competitors...".</w:t>
      </w:r>
    </w:p>
    <w:p>
      <w:r>
        <w:t>The Council highlights (a matter that is essential in this appeal and should be emphasized) that the DI does not question the antitrust legality of the obligatory proportional reinsurance contracts of SDD, nor the contractual authority of the reinsurer (sole or lead of the reinsurance contract) to impose minimum pricing criteria on the ceding insurer. This modality of reinsurance may justify the identity or homogeneity of the pricing guidelines (regarding minimum prices) of a particular reinsurer in the reinsurance contracts it has subscribed with different ceding insurers, but it does not provide a convincing explanation for the high degree of homogeneity existing in terms of minimum prices among the pricing guidelines of the three reinsurers investigated, the top three in the SDD reinsurance market in Spain. (folio 59 of the CNC resolution).</w:t>
      </w:r>
    </w:p>
    <w:p>
      <w:r>
        <w:t>In conclusion, the CNC notes in the sixth legal ground referred to the "lack of alternative explanation for collusion" that the homogeneity and lack of competition in the SDD market in Spain does not have its cause or origin in the bilateral negotiation between insurers and reinsurers within the framework of the obligatory proportional reinsurance contracts or quota share, but in the cartel formed between the main insurers and reinsurers of the SDD in Spain, which as confirmed by the document "Corrective Measures SDD" of December 5, 2001 includes an agreement to set minimum commercial premiums applicable to the best risk. An agreement on minimum prices among the main operators of the direct insurance market and the SDD reinsurance market in Spain that was imposed by the concerted reinsurers on the rest of the SDD market starting in 2002, through the pricing guidelines that are usually annexed to the SDD reinsurance contracts or treaties.</w:t>
      </w:r>
    </w:p>
    <w:p>
      <w:r>
        <w:t>The CNC does not conduct an analysis of the alternative explanation for collusion and thus states that "there is direct and sufficient evidence in the file to conclude that MAPFRE EMPRESAS, ASEFA, SUIZA, SCOR, and MRSEP reached a minimum price agreement for the SDD applicable to the entire market in 2001 (HP 4 to 11), so it is not necessary to analyze the existence of an alternative explanation for collusion".</w:t>
      </w:r>
    </w:p>
    <w:p>
      <w:r>
        <w:t>SIXTH: To examine whether there is direct and sufficient evidence that proves the participation of the appellants in collusive conduct, it is necessary to examine what specific conduct is attributed to MAPFRE EMPRESAS and MAPFRE RE.</w:t>
      </w:r>
    </w:p>
    <w:p>
      <w:r>
        <w:t>In this case, the contested resolution of the CNC (folio 78) states that "MAPFRE EMPRESAS participated in the preparatory preliminary meetings of the document 'Corrective Measures SDD-2002' which records the minimum price agreement, which it received from its competitor ASEFA. It applied the agreement since 2002, as evidenced by the content of its pricing guidelines and policies included in the file. MAPFRE EMPRESAS and MAPFRE RE did: (i) monitoring of their competitors and reported to the reinsurers SUIZA and MRSEP the detected breaches; (ii) convened a meeting in early 2007 with MRSEP, SCOR, and SUIZA, in which they proposed a reduction of the minimum rates, but with the aim of not losing clients and avoiding problems with competition legislation; and (iii) throughout 2007 pressured the reinsurers to reduce rates in 2008 (folios 6424 and 7453 confidential AUSBANC)."</w:t>
      </w:r>
    </w:p>
    <w:p>
      <w:r>
        <w:t>1) Regarding participation in the preparatory preliminary meetings of the document "Corrective Measures SDD-2002" which records the minimum price agreement, which it received from its competitor ASEFA. MAPFRE EMPRESAS does not deny the existence of meetings and the exchange of experiences and information between them, but states that the sole purpose was to exchange strictly technical information related to the cost of coverage for decennial risk for homes, and not with the commercial price of the insurance. In this regard, the CNC documents contacts but it does not appear that ASEFA and MAPFRE exchanged information on the elements of the decennial insurance tariff related to the commercial premium (safety surcharge, administrative costs, and profit margin).</w:t>
      </w:r>
    </w:p>
    <w:p>
      <w:r>
        <w:t>It should be noted that the resolution itself states that the agreements of obligatory proportional reinsurance, which could be classified as vertical agreements (between reinsurer and insurer), do not in themselves form part of this complex infringement attributed, but rather the sanctioned conduct refers to an agreement between competing companies on two fronts, between the main insurers on one side and the main reinsurers of the SDD on the other, to set minimum prices for the entire direct insurance market, applicable to the best agreed risk. It does not appear in this case that the documented contacts refer to these two-front agreements between the insurers and the reinsurers to impose minimum prices on the best agreed risk.</w:t>
      </w:r>
    </w:p>
    <w:p>
      <w:r>
        <w:t>Indeed, the list of proven facts in the resolution indicates that the inaugural meeting of the alleged collusive agreements took place on July 6, 2001, and does not declare proven the participation of either MAPFRE EMPRESAS or MAPFRE RE in it (HP 5, page 23 of the resolution). However, the legal assessment of the resolution contains an error as it incorrectly states, twice, that the participation of MAPFRE EMPRESAS in that meeting of July 6, 2001 constitutes a proven fact (third legal ground, page 50 of the resolution and tenth legal ground page 75).</w:t>
      </w:r>
    </w:p>
    <w:p>
      <w:r>
        <w:t>On the other hand, it is not ASEFA who proposes to MAPFRE the pricing criteria on which the resolution resides the concerted origin of the alleged minimum premiums. An internal email from ASEFA dated September 4, 2001, shows that it was SUIZA who proposed it to MAPFRE, in a lawful context of vertical negotiation between the reinsurer and the insurer to agree on the terms of the reinsurance (folio 6484). Therefore, there is no record of contact between MAPFRE and other entities outside its reinsurance framework.</w:t>
      </w:r>
    </w:p>
    <w:p>
      <w:r>
        <w:t>2) The resolution acknowledges that there were no contacts between MAPFRE and its competing insurers between the years 2002 and 2006. The contact referred to in the resolution of the year 2006 HP 26 does not contain any element restricting competition and is analyzed in sections 213 and 214 of the complaint. Thus, it turns out that it was not a meeting that MAPFRE EMPRESAS attended with the intention of discussing decennial insurance matters, but rather it was a spontaneous invitation from ASEFA and MAPFRE's position was what it had already shown, trying to obtain the best possible price from its reinsurers. In the same vein, the meeting of May 27, 2007 (HP 49) held at the headquarters of MAPFRE RE, which was attended by SUIZA, SCOR, and MUNICHER, in which again "it proposed to lift the barrier of minimum rates in order not to lose clients and arguing competition regulations, but the reinsurers opposed" (section 218 of the complaint).</w:t>
      </w:r>
    </w:p>
    <w:p>
      <w:r>
        <w:t>3) The contested resolution states that MAPFRE EMPRESAS and MAPFRE RE did: (i) monitored their competitors and reported to the reinsurers SUIZA and MRSEP the detected breaches; (ii) convened a meeting in early 2007 with MRSEP, SCOR, and SUIZA, in which they proposed a reduction of the minimum rates, but with the aim of not losing clients and avoiding problems with competition legislation; and (iii) throughout 2007 pressured the reinsurers to reduce rates in 2008 (folios 6424 and 7453 confidential AUSBANC). However, the...</w:t>
      </w:r>
    </w:p>
    <w:p>
      <w:r>
        <w:rPr>
          <w:b/>
        </w:rPr>
        <w:t>[Pages 13–15]</w:t>
      </w:r>
    </w:p>
    <w:p>
      <w:r>
        <w:t xml:space="preserve">Investigation Directorate considered that this monitoring of competitors' behavior did not have an anticompetitive purpose but rather aimed to ensure that their reinsurers improved their conditions to be able to compete, as indicated in the proposed resolution: "The DI does not question the monitoring of competitors' behavior in the market. In this sense, it does not dispute that MAPFRE informed its reinsurers of the existence of competitors' offers at lower prices and understands that the purpose of its conduct was exclusively to achieve better conditions from its reinsurers to be able to compete."  </w:t>
        <w:br/>
        <w:t xml:space="preserve">The CNC follows the same line by excluding the application of an aggravating factor to MAPFRE EMPRESAS and MAPFRE RE, understanding that these were not measures of pressure or boycott against those who do not comply, but rather pressure on their reinsurers to apply better conditions (folio 78 of the resolution). In this regard, it is noted that MAPFRE EMPRESAS sent letters on February 27, 2002, to the reinsurers MUNCHENER, SUIZA, SCOR, and GERLING KONZERN GLOBALE requesting the maximum possible freedom to determine the premiums (folios 8283 and 8305, which are referenced in paragraphs 185 to 188 of the complaint). That is to say, from the moment MAPFRE EMPRESAS became aware that other entities were obtaining better reinsurance prices, the only thing it requested from its reinsurers was the application of the same conditions. The content of these letters is as follows:  </w:t>
        <w:br/>
        <w:t xml:space="preserve">"1. Subject: contractual conditions 2002. Property damage insurance (...).  </w:t>
        <w:br/>
        <w:t xml:space="preserve">2. As you have had the opportunity to verify, the application of the technical conditions set forth in the underwriting rules of the property damage reinsurance contract for this fiscal year, which our entity has been applying with determination and rigor since the beginning of it, is leaving us out of the market because there are offers from other companies under significantly reduced conditions.  </w:t>
        <w:br/>
        <w:t xml:space="preserve">3. This situation represents a clear discrimination against our Company, which, by maintaining the criteria set by you, is harmed in its interests compared to other companies that do not seem to have the same contractual and technical conditions, some of which are backed by the same reinsurers of our contract.  </w:t>
        <w:br/>
        <w:t xml:space="preserve">Considering the above and the time elapsed, we request that if this situation persists within 15 days, you urgently provide us with the levels of flexibility of these technical bases to compete on equal terms with those practiced by other companies in the market."  </w:t>
        <w:br/>
        <w:t xml:space="preserve">For its part, in 2003, MAPFRE RE already stated that it does not engage in consistent conduct to "pressure the reinsurers to in turn pressure the competition" (folio 6396 of the file, section 203 of the complaint).  </w:t>
        <w:br/>
        <w:t>According to the reasoning provided, it cannot be affirmed that there is direct evidence to conclude that MAPFRE EMPRESAS reached an agreement on minimum prices with ASEFA, SUIZA, SCOR, and MRSEP in 2001 applicable to the entire market and sought to impose it. In the judgment of December 18, 2012 (appeal 861/2009) concerning Munchener and in the judgment of January 4, 2013 (appeal 864/2009) concerning ASEFA, which basically reproduces the previous one, it is also concluded that the analysis of the proven facts does not allow for the conclusion that they constitute the sanctioned infringement.</w:t>
      </w:r>
    </w:p>
    <w:p>
      <w:r>
        <w:t xml:space="preserve">SEVENTH: Once it has been ruled out that there is sufficient direct evidence to conclude that MAPFRE EMPRESAS reached an agreement on minimum prices with ASEFA, SUIZA, SCOR, and MRSEP in 2001 applicable to the entire market and that it tried to impose this agreement on all competitors, it is necessary to examine whether the rest of the indirect evidence referred to by the CNC supports the existence of the alleged infringement. The CNC refers to the homogeneity of the rates, the existence of effects, and specifically the elimination of competition and price increases. Each of these will be examined separately.  </w:t>
        <w:br/>
        <w:t xml:space="preserve">A) Regarding the homogeneity of the rates,  </w:t>
        <w:br/>
        <w:t xml:space="preserve">The appellant provides a plausible alternative explanation that convinces this Chamber, referring to:  </w:t>
        <w:br/>
        <w:t xml:space="preserve">1) The existence of common costs and fundamentally the expected cost of claims calculated based on common statistics. It refers to the disastrous experience of decennial insurance in France, which made it essential for companies in Spain to collaborate to obtain reliable statistics on claims.  </w:t>
        <w:br/>
        <w:t xml:space="preserve">2) The transparency of the decennial insurance market regarding the premiums applied by insurers arises from co-reinsurance contracts. The negotiation of the cession conditions is established between the insurer and one (or a few) reinsurers that assume a greater share in the contract (which act as leaders in the contract), while the rest generally (though not necessarily) adhere to the same terms and conditions (what is sectorally referred to as the "following market"). Since all reinsurers in co-reinsurance participate in a percentage of the original gross premium of the cedent, they all have access to all the elements used by the insurer to price that premium.  </w:t>
        <w:br/>
        <w:t xml:space="preserve">3) On the other hand, the high degree of homogeneity is due to external factors of the company, such as the existence of co-reinsurance agreements (with identical conditions) among reinsurers.  </w:t>
        <w:br/>
        <w:t xml:space="preserve">In the judgments already issued by this Chamber on December 18, 2012 (appeal 861/2009) concerning Munchener, judgment of December 18, 2012 (appeal 865/2009) concerning SCOR GLOBAL, and judgment of January 4, 2013 (appeal 864/2009) concerning ASEFA, it is also concluded that there is an alternative explanation to the antitrust concertation in terms similar to those raised by the appellant here, emphasizing that in the insurance market there are peculiarities that may make the existence of cooperation mechanisms for the exchange of information and experiences among competitors necessary to calculate the cost of insurance (the risk premium), which in any case must be sufficient to avoid the risks of underpricing. It was referred to:  </w:t>
        <w:br/>
        <w:t xml:space="preserve">1) The existence of a historical factor, since the obligation of decennial insurance was a novelty introduced into our legal system by Law 38/1999, of November 5, on the Organization of Building, with the experience regarding it in Spain being practically nonexistent and, consequently, the statistical information on claims also being irrelevant. Additionally, it should be noted that the disputed insurance is a long-term insurance, as it covers a period of ten years from the completion of the work, and claims, as a general rule, begin to occur years later, which does not make it easy to adequately calculate the risk premium for this insurance until some years have passed since its implementation as mandatory.  </w:t>
        <w:br/>
        <w:t xml:space="preserve">2) An international or comparative factor is that in the French market, where mandatory insurance existed since 1978, a crisis occurred in the 1990s due to incorrect pricing of risks, a crisis that resulted in substantial losses, even leading to the exit from the market of numerous companies that had been operating in a reinsurance modality for the SDD called "non-proportional for excess of loss XL," a modality in which, by covering the reinsurer only the risks that exceed a certain amount per claim, the situation of underpricing falls on the insurers, not on the reinsurers.  </w:t>
        <w:br/>
        <w:t xml:space="preserve">3) A special characterization of the market in the field of private insurance activity that is primarily conditioned by a legal obligation of "sufficiency" of commercial premiums to allow the insurance entity to meet all obligations arising from insurance contracts and, in particular, to constitute the appropriate technical provisions (Article 25.3 of the Consolidated Text of the Law on the Organization and Supervision of Private Insurance).  </w:t>
        <w:br/>
        <w:t xml:space="preserve">In this instance, the party presented expert evidence, and one of its points was to prove that the rates applied by Mapfre were not homogeneous, but it should be specified that this evidence is irrelevant in this appeal: 1) It is not questioned that Mapfre can apply the same pricing guidelines to all its insured, what is debated in this appeal is the homogeneity of rates among competitors, not the homogeneity of rates applied by an insurer to its insured. 2) The application of the same rates does not imply that the premium is identical, as the characteristics of the homes are not similar. 3) The expert does not prove that there was no homogeneity in the policies he analyzes (213 policies corresponding to the months of March, June, September, and December of each of the periods from 2002 to 2010) regarding the minimum prices agreed upon, as the pricing sheet is not provided to verify whether supplementary rates have been applied if the technical characteristics of the building determine a higher risk (number of basements, number of floors above ground).  </w:t>
        <w:br/>
        <w:t xml:space="preserve">As we have pointed out, the agreement on minimum prices does not refer to all the parameters included in the pricing guidelines but to the minimum prices for the concepts indicated in the proven fact 25 (folio 29 of the contested resolution). Therefore, it does not reach the supplementary rates if the technical characteristics of the buildings determine a higher risk (number of basements, number of floors above ground, etc.), supplementary rates that the CNC indicates would not have been covered by the agreement, nor the surcharges or discounts based on the type of soil, slope, groundwater level, foundation, type of structure, etc., that some companies apply (folio 60 of the contested resolution). On the other hand, these are agreements on minimum prices, so the CNC does not question that the insurer could set a higher price. 4) The appellant himself has provided an alternative explanation for this homogeneity of minimum prices, so he cannot simultaneously argue that they are not homogeneous.  </w:t>
        <w:br/>
        <w:t xml:space="preserve">B) Regarding whether the agreement on minimum rates eliminated competition.  </w:t>
        <w:br/>
        <w:t>It should be noted that this supposed agreement on rates, premiums, and minimum prices has not been reached, as recognized by the Investigation Directorate and supported by...</w:t>
      </w:r>
    </w:p>
    <w:p>
      <w:r>
        <w:rPr>
          <w:b/>
        </w:rPr>
        <w:t>[Pages 16–18]</w:t>
      </w:r>
    </w:p>
    <w:p>
      <w:r>
        <w:t>CNC (folio 70 of the contested resolution) nor to the reinsurance commissions paid to the ceding insurers, nor to the additional or supplementary rates that some insurers establish when certain characteristics of the construction determine a higher risk (number of basements, above-ground floors), a rate that is added to the minimum agreed upon and therefore applicable to the better risk. The surcharges, discounts based on soil type, slope, groundwater level, foundation, and type of structures applied by some insurers are also not part of the agreement. The contested resolution does not analyze the relevance of these facts but limits itself to indicating that there is sufficient evidence in the proven facts that the purpose was to eliminate competition and increase prices (folio 70), stating that "the ICEA data collected in table No. 1 of HP 2.4 confirm that indeed in the year 2002 there was an increase in average rates compared to 2001 that continued in subsequent years." (folio 71) and that the price-fixing agreement has allowed the infringing companies to maintain or even improve their joint market share in a context of increasing demand. These arguments do not convince this Chamber.</w:t>
      </w:r>
    </w:p>
    <w:p>
      <w:r>
        <w:t>1) We have already argued in the sixth legal ground that from the proven facts 3 to 12, the existence of an agreement to eliminate competition cannot be deduced. The monitoring of competitors' behavior by Mapfre did not have an anticompetitive purpose but aimed to ensure that its reinsurers improved their conditions, with vertical agreements between insurer-reinsurer for setting minimum rates for better risk being lawful in the modality of proportional obligatory reinsurance contracts.</w:t>
      </w:r>
    </w:p>
    <w:p>
      <w:r>
        <w:t>2) It is not disputed that the application of vertical agreements between insurer and reinsurer has resulted in limited competition, but the CNC itself does not question the legality of the proportional obligatory reinsurance contracts of SDD, nor the contractual authority of the reinsurer (sole or lead of the reinsurance contract) to impose minimum pricing criteria on the ceding insurer (it only questions them to the extent that they have a concerted origin between insurers and reinsurers, which has been ruled out in this appeal concerning Mapfre). On the other hand, nothing prevents insurers from offering their own prices or commercial premiums based on that minimum price that must be respected to obtain reinsurance.</w:t>
      </w:r>
    </w:p>
    <w:p>
      <w:r>
        <w:t xml:space="preserve">C) Regarding the increase in prices.  </w:t>
        <w:br/>
        <w:t>The Directorate of Investigation starts from ICEA data from the year 2006 to create tables to quantify the impact of the agreement on the level of the average rate of the SDD, concluding that there is a continuous increase in the commercial rate of up to a total of 10 percentage points between 2002-2006 as an effect of the minimum price agreement. Several of the sanctioned companies referred to the impossibility of using the statistical reports from ICEA to draw conclusions about the behavior of the commercial rate in the period examined by the DI given the provisional, mutable, and extraordinarily heterogeneous nature of the base data, the fact that the tables of "General Data" and "Fundamental Work" from ICEA's reports include not only residential buildings but also other buildings such as hotels, offices, etc., making them unusable in a file limited to SDD for residential buildings. In relation to this point, it is important to highlight, as it is not referenced in the contested resolution, that ICEA itself stated (folio 13001 confidential part).</w:t>
      </w:r>
    </w:p>
    <w:p>
      <w:r>
        <w:t xml:space="preserve">"From the information in the ICEA report of 2007, it follows that the prices and the evolution of the average rates in the considered period were not as indicated in the PCH and that there was even a favorable decrease in them in certain years of the considered period, as well as a constant decreasing trend at the end of that period, as a consequence of the aggressive competition among insurers offering this product.  </w:t>
        <w:br/>
        <w:t>The previous variations invalidate the calculations made by the Directorate of Investigation for the purpose of considering the evolution of prices in the considered period since the actual average rates cannot be effectively calculated until the coverage period of the SDD has passed and no variations of the data can occur in subsequent periods."</w:t>
      </w:r>
    </w:p>
    <w:p>
      <w:r>
        <w:t>The CNC (folio 73) recognizes "the relative evidentiary value" of the tables from HP 59 to quantify the impact of the agreement on the level of the average rate of the SDD and to supplement those evidentiary deficiencies refers to the proven facts 3 to 12 which establish that the object and effect of the minimum price agreement was to eliminate competition and that this objective was achieved. These arguments also do not convince the Chamber.</w:t>
      </w:r>
    </w:p>
    <w:p>
      <w:r>
        <w:t>1) The proven facts 3 to 12 regarding the contacts in the year 2001 between insurers and reinsurers and the implementation of the agreement have already been analyzed in the sixth legal ground, and we have pointed out that from them, the existence of an agreement between insurers and reinsurers to set minimum prices applicable to better risk cannot be deduced.</w:t>
      </w:r>
    </w:p>
    <w:p>
      <w:r>
        <w:t>2) In this appeal, expert evidence was presented that proves that the evolution of the average rates of obligatory decennial insurance was similar to that of non-obligatory insurance and that in both cases, the evolution of demand was the determining factor for the modifications in the average rate levels (third conclusion, page 3). The CNC provides a brief response regarding the similar evolution of obligatory and non-obligatory decennial insurance, stating that the agreement also extended to non-obligatory insurance (folio 73), referring to the summary of ASEFA from the meeting of May 7, 2002, which indicates that "it is made clear that the stipulated conditions must be for all cases" (...) and if there is a possibility of reductions, bonuses, or other trifles, but it is considered that this evidence is insufficient as it is not accompanied by other indications, and in fact, no sanction is imposed for a supposed agreement outside the scope of obligatory decennial insurance.</w:t>
      </w:r>
    </w:p>
    <w:p>
      <w:r>
        <w:t>The appellant also refers to two indications that reveal its lack of interest in participating in a cartel, such as the fact that Mapfre's market share decreased significantly during the time of the alleged infringement. Thus, the expert report indicates that Mapfre experienced a drop of 5 percentage points, contrasting with the notable increase it recorded during that time in all other branches, and on the other hand, the joint retention of risks by Mapfre Empresas and Mapfre Re in decennial insurance between 2002 and 2007 was between 10% and 25%, much lower compared to the retention level in other insurance branches, which was between 40% and 95%, with Mapfre Re not having received a response from the CNC regarding this allegation.</w:t>
      </w:r>
    </w:p>
    <w:p>
      <w:r>
        <w:t>EIGHTH: In conclusion, the evidence used in the contested decision is insufficient to demonstrate the existence of an infringement (documentary evidence, analysis of the effects on the market of the application of the agreement that according to the CNC eliminated competition and increased prices) and there being a plausible alternative to the theses of the National Competition Commission, it is appropriate to annul the resolution concerning the appellant.</w:t>
      </w:r>
    </w:p>
    <w:p>
      <w:r>
        <w:t>As stated by the judgment of the General Court of the European Union (Extended Sixth Chamber) in the judgment of June 16, 2011, in the case Heineken Nederland T-240/07 to which we have already referred (52) In the event that the Commission invokes documentary evidence in support of its conclusion regarding the existence of an agreement or practice contrary to competition, it is incumbent upon the parties challenging this assessment before the Court not only to present a plausible alternative to the Commission's thesis but also to denounce the insufficiency of the evidence used in the contested Decision to demonstrate the existence of the infringement (judgment JFE Engineering and others/Commission, cited in the previous paragraph 50, paragraph 187). As stated by the judgment of the General Court of the European Union (Extended Sixth Chamber) in the judgment of June 16, 2011, in the case Heineken Nederland T-240/07.</w:t>
      </w:r>
    </w:p>
    <w:p>
      <w:r>
        <w:t>"(54) The existence of doubt in the mind of the judge must favor the company subject to the decision declaring an infringement, as required by the principle of presumption of innocence, which, as a general principle of European Union law, applies, in particular, to proceedings relating to violations of the competition rules applicable to companies that may lead to the imposition of fines or coercive penalties (judgment Hüls/Commission, cited in the previous paragraph 46, paragraphs 149 and 150, and judgment of the General Court of September 27, 2006, Dresdner Bank and others/Commission, T-44/02 OP, T-54/02 OP, T-56/02 OP, T-60/02 OP and T-61/02 OP, Rec. p. II-3567, paragraphs 60 and 61)."</w:t>
      </w:r>
    </w:p>
    <w:p>
      <w:r>
        <w:t>NINTH: No merits are appreciated that determine a special pronouncement on costs, according to the criteria contained in Article 139.1 of the Law Regulating Contentious Administrative Jurisdiction.</w:t>
      </w:r>
    </w:p>
    <w:p>
      <w:r>
        <w:t xml:space="preserve">HAVING SEEN the cited provisions and others of general and pertinent application, by the power granted to us by the Constitution:  </w:t>
        <w:br/>
        <w:t xml:space="preserve">WE DECREE  </w:t>
        <w:br/>
        <w:t xml:space="preserve">TO GRANT the contentious administrative appeal filed by MAPFRE RE COMPAÑÍA DE REASEGUROS SA AND MAPFRE EMPRESAS COMPAÑÍA DE SEGUROS Y REASEGUROS against the resolution of the Council of the National Competition Commission (CNC) of November 12, 2009 (Decennial Insurance Companies, file S/0037/08) which we annul in the pronouncements referred to the plaintiff. No costs are imposed.  </w:t>
        <w:br/>
        <w:t xml:space="preserve">Thus, by this our Judgment, a testimony of which will be sent along with the administrative file to the originating Office for execution, we pronounce, command, and sign.  </w:t>
        <w:br/>
        <w:t>PUBLICATION.- The previous judgment was read and published in the usual manner by the Honorable Ms. Magistrate Rapporteur, being constituted in public hearing, of which I, the Secretary,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