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https://www.cnmc.es/expedientes/s003808</w:t>
      </w:r>
    </w:p>
    <w:p>
      <w:r>
        <w:t>Pages translated : 16</w:t>
      </w:r>
    </w:p>
    <w:p/>
    <w:p>
      <w:r>
        <w:rPr>
          <w:b/>
        </w:rPr>
        <w:t>[Pages 1–3]</w:t>
      </w:r>
    </w:p>
    <w:p>
      <w:r>
        <w:t xml:space="preserve">RESOLUTION (FILE S/0038/08 FEFE VS PHARMACEUTICAL LABORATORIES AND WHOLESALERS  </w:t>
        <w:br/>
        <w:t xml:space="preserve">COUNCIL  </w:t>
        <w:br/>
        <w:t xml:space="preserve">Mr. Luís Berenguer Fuster, President  </w:t>
        <w:br/>
        <w:t xml:space="preserve">Mr. Fernando Torremocha y García-Sáenz, Vice President  </w:t>
        <w:br/>
        <w:t xml:space="preserve">Mr. Emilio Conde Fernández-Oliva, Counselor  </w:t>
        <w:br/>
        <w:t xml:space="preserve">Mr. Miguel Cuerdo Mir, Counselor  </w:t>
        <w:br/>
        <w:t xml:space="preserve">Ms. Pilar Sánchez Núñez, Counselor  </w:t>
        <w:br/>
        <w:t xml:space="preserve">Mr. Julio Costas Comesaña, Counselor  </w:t>
        <w:br/>
        <w:t xml:space="preserve">Ms. M. Jesús González, Counselor  </w:t>
        <w:br/>
        <w:t xml:space="preserve">Ms. Inmaculada Gutiérrez, Counselor  </w:t>
        <w:br/>
        <w:t xml:space="preserve">In Madrid, on February 17, 2010  </w:t>
        <w:br/>
        <w:t xml:space="preserve">The Council of the National Competition Commission (the CNC Council, the Council) with the composition already expressed and being Rapporteur Ms. Pilar Sánchez Núñez, has issued the following Resolution in the sanctioning file S/0038/08 FEFE VS PHARMACEUTICAL LABORATORIES AND WHOLESALERS, initiated ex officio for alleged conduct prohibited by Article 1 of Law 15/2007 of July 3, on the Defense of Competition (LDC) and by Article 101 (formerly 81) of the Treaty on the European Union (TUE) against PFIZER, S.A. (PFIZER), JANSSEN-CILAG, S.A. (JC), MERCK SHARP &amp; DOHME ESPAÑA, S.A. (MSD), LILLY, S.A. (LILLY), SANOFI-AVENTIS ESPAÑA, S.A. (SANOFI), NOVARTIS FARMACÉUTICA, S.A. (NOVARTIS), BOEHRINGER INGELHEIM ESPAÑA, S.A. (BI) and ASTRA ZENECA (AZ), reported by the SPANISH PHARMACISTS BUSINESS FEDERATION (FEFE).  </w:t>
        <w:br/>
        <w:t xml:space="preserve">FACTUAL BACKGROUND  </w:t>
        <w:br/>
        <w:t xml:space="preserve">1. On September 17, 2009, a Proposal for Archiving from the Investigation Directorate of the CNC (DI) entered the Council's secretariat in the sanctioning file S/0038/08 FEFE VS PHARMACEUTICAL LABORATORIES AND WHOLESALERS, originated by the complaint from FEFE regarding a conduct of "establishing a double price initiated by pharmaceutical laboratories with wholesalers accompanied by the expulsion from the market of certain distributors and the obtaining of commercial information from pharmacies without their consent (folios 1 to 355). According to the complainant entity, such conduct could constitute an agreement in the sense of Article 81 of the TUE and Article 1 of Law 15/2007, of July 3 (BOE of the 4th), on the Defense of Competition (LDC) as well as an infringement of Article 16.3 b) of Law 3/1991, of January 10 (BOE of the 11th), on Unfair Competition (LCD).  </w:t>
        <w:br/>
        <w:t xml:space="preserve">2. Previously, on September 14, 2009, the Council resolved not to initiate a sanctioning file and to archive the proceedings in file S/0017/07 EAEPC VS PHARMACEUTICAL LABORATORIES. In that Resolution, the Council analyzed and evaluated identical conduct of the same companies reported that are presented again in the sanctioning file subject to this Resolution, although the latter incorporates new conduct and new defendants. Specifically, the facts reported on January 23, 2008, in the present file are, as stated in the DI's proposal for archiving: "(i) The laboratories established distribution systems through which they had implemented or intended to implement a double price system; (ii) This double price system was accompanied by the exclusion of certain wholesalers and the establishment of an information exchange system between pharmacies, distributors, and laboratories; (iii) According to the complainant itself, the exclusion of certain wholesalers and the establishment of an information exchange system would be instrumental behaviors necessary to establish the double price, and (iv) Furthermore, the laboratories had generally followed the same pattern of conduct." Regarding the reported companies, in the present file, there are two companies reported that were not in the aforementioned resolved file, which are BOEHRINGER INGELHEIM ESPAÑA, S.A. (BI) and ASTRA ZENECA (AZ). In the present file, following the complaint and within the investigation process, the complainant also states that some of the reported laboratories would be causing a shortage of certain products to certain full-range distributors, due to lack of supply. In this line, it requests the adoption of precautionary measures so that the laboratories BI, SANOFI, JC, AZ, and NOVARTIS supply their products to the warehouses with which they had commercial relations before applying their new policy (folios 888 to 966 vta). Finally, they also report that due to the existence of certain shortages, the laboratories LILLY would have intended to supply the product directly to pharmacies at an increased laboratory sale price (PVL) in the wholesale margin, which in the opinion of the defendant is reserved for wholesalers.  </w:t>
        <w:br/>
        <w:t xml:space="preserve">3. Part of the regulatory framework under which the agents involved in this file carry out their activity has already been analyzed in point 5 of the background of the recent and cited RCNC S/0017/07 EAEPC VS PHARMACEUTICAL LABORATORIES, based on which the conclusions obtained then are reiterated and which, regarding the pricing system of medicines that affects this file, are:  </w:t>
        <w:br/>
        <w:t xml:space="preserve">"In conclusion, since the amendment of Law 25/1990 through Law 55/1999, that is, since January 1, 2000, the date on which that Law came into force, the maximum industrial prices of pharmaceutical specialties are set by the Interministerial Commission on Prices of Medicines. However, these prices are established only for the specialties that meet the following requirements:  </w:t>
        <w:br/>
        <w:t xml:space="preserve">- that are dispensed in national territory and  </w:t>
        <w:br/>
        <w:t xml:space="preserve">- that are financed with Social Security funds or state funds allocated to Health."  </w:t>
        <w:br/>
        <w:t xml:space="preserve">4. Regarding the novelties of this file, that is, those related to issues of shortage and the sale price from laboratories to pharmacies, the regulation affecting them is, as detailed in the proposed resolution, the following:  </w:t>
        <w:br/>
        <w:t xml:space="preserve">(19) As for the distribution and dispensing margins, they are set by the Government following an agreement of the Delegated Commission for Economic Affairs as established by the second paragraph of article 100.1 of Law 25/1990 and the second paragraph of article 90.1 of Law 29/2006, cited above. These margins can be reviewed by the Council of Ministers, prior to agreement of the aforementioned Commission.  </w:t>
        <w:br/>
        <w:t xml:space="preserve">(20) Royal Decree 164/1997, of February 7, regulated the margins corresponding to wholesalers for the distribution of pharmaceutical specialties for human use and in its article 1 established the following:  </w:t>
        <w:br/>
        <w:t xml:space="preserve">"The margin of pharmaceutical warehouses in the distribution of pharmaceutical specialties for human use is set at 11 percent of the sale price of the warehouse excluding taxes."  </w:t>
        <w:br/>
        <w:t xml:space="preserve">(21) This Royal Decree has been modified several times and in the last modification through Royal Decree 823/2008, of May 16, it establishes the following:  </w:t>
        <w:br/>
        <w:t xml:space="preserve">"Article 1. Margins corresponding to the distribution of industrially manufactured human medicines  </w:t>
        <w:br/>
        <w:t xml:space="preserve">1. The margin corresponding to the distribution of industrially manufactured human medicines for presentations of medicines whose laboratory sale price is equal to or less than 91.63 euros is set at 7.6 percent of the distributor's sale price excluding taxes.  </w:t>
        <w:br/>
        <w:t xml:space="preserve">2. The margin for the distribution of industrially manufactured human medicines for presentations of medicines whose laboratory sale price is greater than 91.63 euros is set at 7.54 euros per package.  </w:t>
        <w:br/>
        <w:t xml:space="preserve">3. The margin corresponding to the distribution of industrially manufactured human medicines packaged in clinical packaging will be 5 percent of the warehouse's sale price excluding taxes."  </w:t>
        <w:br/>
        <w:t>That is to say, it refers to the distribution of medicines in general, without making distinctions between the operators that can carry it out (laboratories or wholesalers) and considerably reduces the margins that had been decreasing through successive royal decrees.</w:t>
      </w:r>
    </w:p>
    <w:p>
      <w:r>
        <w:rPr>
          <w:b/>
        </w:rPr>
        <w:t>[Pages 4–6]</w:t>
      </w:r>
    </w:p>
    <w:p>
      <w:r>
        <w:t xml:space="preserve">(22) For its part, RD 165/1997, of February 7, regulated the margins corresponding to pharmacies for the dispensing of pharmaceutical specialties for human use and in its article 1 established:  </w:t>
        <w:br/>
        <w:t xml:space="preserve">"The professional margin of pharmacies for dispensing and selling to the public pharmaceutical specialties for human use is set at an amount of 27.9 percent of the public sale price excluding taxes."  </w:t>
        <w:br/>
        <w:t xml:space="preserve">(23) This Royal Decree, like RD 164/1997, has undergone several modifications2 and in the last modification through RD 823/2008, of May 16, establishes the following:  </w:t>
        <w:br/>
        <w:t xml:space="preserve">"Article 2. Margins and deductions corresponding to the public dispensing of industrially manufactured human use medicines  </w:t>
        <w:br/>
        <w:t xml:space="preserve">1. The margin of pharmacies for dispensing and selling to the public industrially manufactured human use medicines, for those medicines whose laboratory sale price is equal to or less than 91.63 euros, is set at 27.9 percent of the public sale price excluding taxes.  </w:t>
        <w:br/>
        <w:t xml:space="preserve">2. The margin of pharmacies for dispensing and selling to the public industrially manufactured human use medicines, for those medicines whose laboratory sale price is greater than 91.63 euros, is set at 38.37 euros per package."  </w:t>
        <w:br/>
        <w:t xml:space="preserve">These margins, according to article 2.3 of the same RD, are subject to a deduction based on the sales figures of the corresponding pharmacy.  </w:t>
        <w:br/>
        <w:t xml:space="preserve">5. The parties involved in this file are, (1) the reported laboratories, which are large multinational pharmaceutical companies dedicated to the manufacture and sale of pharmaceutical products, of which it is important to know the following:  </w:t>
        <w:br/>
        <w:t xml:space="preserve">- PFIZER is present worldwide and its main activity, in relation to the file, is the manufacture of pharmaceutical products for human use. However, it devotes a large part of its resources to biomedical research and also manufactures a complete range of medicines for veterinary use3.  </w:t>
        <w:br/>
        <w:t xml:space="preserve">- JANSSEN-CILAG (JC) is a research-based pharmaceutical company belonging to the Johnson &amp; Johnson group. It has a global presence. Its main activity, in relation to the file, is the manufacture of pharmaceutical products for human use4.  </w:t>
        <w:br/>
        <w:t xml:space="preserve">- MERCK SHARP &amp; DOHME (MSD) is the name under which the American multinational Merck &amp; Co., Inc., Whitehouse Station, N.J., U.S.A., operates in Spain, a global pharmaceutical company, based on research and dedicated to the discovery, development, manufacture, and marketing of a wide range of health products, directly or through its joint ventures. It has a global presence5.  </w:t>
        <w:br/>
        <w:t xml:space="preserve">- LILLY is an American company with a global presence, like the previous ones. Its main activity, in relation to the file, is the manufacture of pharmaceutical products for human use6.  </w:t>
        <w:br/>
        <w:t xml:space="preserve">- SANOFI-AVENTIS is one of the world leaders in the pharmaceutical industry and number 1 in Europe. Its main activity, in relation to the file, is the manufacture of pharmaceutical products for human use7.  </w:t>
        <w:br/>
        <w:t xml:space="preserve">- NOVARTIS was founded in 1997 after the merger of Ciba-Geigy and Sandoz. Like the previous ones, its activity, in relation to the file, is the manufacture of pharmaceutical products for human use. It has a global presence8.  </w:t>
        <w:br/>
        <w:t xml:space="preserve">- AZ was established on April 6, 1999, by the merger of the Swedish company Astra AB and the English Group Zeneca PLC. Its main activity, in relation to the file, is the manufacture of pharmaceutical products for human use. It has a global presence. The corporate office is in London and the main R&amp;D centers are in Sweden, the United Kingdom, and the United States9.  </w:t>
        <w:br/>
        <w:t xml:space="preserve">- BI was founded in 1885 and began its activity in Spain in 1952. Its main activity, in relation to the file, is the manufacture of pharmaceutical products for human use. It also has a veterinary division and a chemical division. Like the other reported laboratories, it has a global presence. The parent company is Boehringer AG, located in Germany, and the laboratories EUROPHARMA and FHER also belong to the Boehringer Ingelheim group10.  </w:t>
        <w:br/>
        <w:t xml:space="preserve">And (2) the complainant, Spanish Federation of Pharmaceutical Entrepreneurs:  </w:t>
        <w:br/>
        <w:t xml:space="preserve">- FEFE was established in 1981 and is a Private Business Association that brings together the "pharmacy office sector, understood as that of the Associations or Business Groups established in the different Autonomous Communities or, failing that, in the Spanish provinces, that encompass companies that carry out such activity" (folio 7). Among its purposes, in accordance with article 7 of its Statutes (folios 78 to 117), is the representation, promotion, coordination, and defense of the general and common interests of the member Associations and Groups, and of their associates before all kinds of authorities and public bodies.  </w:t>
        <w:br/>
        <w:t xml:space="preserve">6. The position of the reported laboratories in the Spanish market, in December 2007, is shown in the following table:  </w:t>
        <w:br/>
        <w:t xml:space="preserve">Table 1  </w:t>
        <w:br/>
        <w:t xml:space="preserve">Ranking Laboratory Market Share Value Market Share Units  </w:t>
        <w:br/>
        <w:t xml:space="preserve">1 GROUP PFIZER* 8.1% 4.2%  </w:t>
        <w:br/>
        <w:t xml:space="preserve">2 SANOFI 6.2% 5.6%  </w:t>
        <w:br/>
        <w:t xml:space="preserve">3 NOVARTIS 6.1% 7.1%  </w:t>
        <w:br/>
        <w:t xml:space="preserve">6 AZ 4.6% 1.8%  </w:t>
        <w:br/>
        <w:t xml:space="preserve">7 MSD 4.0% 2.1%  </w:t>
        <w:br/>
        <w:t xml:space="preserve">8 J C 3.6% 0.8%  </w:t>
        <w:br/>
        <w:t xml:space="preserve">10 LILLY 3.2% 0.5%  </w:t>
        <w:br/>
        <w:t xml:space="preserve">11 BI 3.1% 3.1%  </w:t>
        <w:br/>
        <w:t xml:space="preserve">* PFIZER+ PHARMACIA+ PARKE DAVIS constitute the PFIZER Group.  </w:t>
        <w:br/>
        <w:t xml:space="preserve">Source: IMS data (folios 2629 to 2631)  </w:t>
        <w:br/>
        <w:t xml:space="preserve">7. Regarding the representativeness of FEFE, the proposed resolution states that: The scope of action is national and its main activities are to defend the interests of pharmacists who own Pharmacies. The level of voluntary affiliation of pharmacies to the Business Associations and Federations that constitute FEFE is around 70% of the total Pharmacies throughout the national territory, with continuous growth projection11.  </w:t>
        <w:br/>
        <w:t xml:space="preserve">8. The DI reiterates the conclusions already obtained in the cited precedent S/0017/07, regarding the complaint of the implementation of the dual pricing system, the summary of which is:  </w:t>
        <w:br/>
        <w:t xml:space="preserve">- The existence of numerous changes in the sector's regulations.  </w:t>
        <w:br/>
        <w:t xml:space="preserve">- The lack of issuance of the certificates referred to in RD 725/2003, which should have been issued by the Ministry to identify the units sold and subject to the public financing regime.  </w:t>
        <w:br/>
        <w:t xml:space="preserve">- The design of systems to ensure compliance with the Law subsequently carried out by the laboratories.  </w:t>
        <w:br/>
        <w:t xml:space="preserve">9. Regarding the laboratories reported in this file and that were not reported in the file S/0017/07, the proposal for closure submitted to the Council establishes the following facts:  </w:t>
        <w:br/>
        <w:t xml:space="preserve">AZ (folios 68 and 69, 672 to 716 and 868 to 871)  </w:t>
        <w:br/>
        <w:t>(24) The complaint against AZ is based by FEFE on the laboratory's letter, dated November 5, 2007, addressed to the Official College of Pharmacists of Murcia, in which it announces a new supply model to avoid shortages, working with a smaller number of wholesalers and offering direct supply in case of shortages. Said letter</w:t>
      </w:r>
    </w:p>
    <w:p>
      <w:r>
        <w:rPr>
          <w:b/>
        </w:rPr>
        <w:t>[Pages 7–9]</w:t>
      </w:r>
    </w:p>
    <w:p>
      <w:r>
        <w:t xml:space="preserve">2003, JC en marzo de 2007, MSD en febrero de 2007, SANOFI a principios de 2008, NOVARTIS en septiembre de 2007, y BI en abril/june de 2008.  </w:t>
        <w:br/>
        <w:t xml:space="preserve">- En cuanto a AZ, se establece que la aplicación del precio intervenido se llevará a cabo únicamente en aquellos casos que cumplan con los requisitos establecidos por la Ley 29/2006.  </w:t>
        <w:br/>
        <w:t xml:space="preserve">- La duración de los contratos analizados es inferior a cinco años en todos los casos.  </w:t>
        <w:br/>
        <w:t xml:space="preserve">- La DI concluye que, a pesar de las diferencias en la implementación de precios libres, todos los laboratorios denunciados han realizado cambios en sus modelos de suministro y comercialización, lo que ha llevado a una reestructuración del mercado de distribución farmacéutica.  </w:t>
        <w:br/>
        <w:t>- Se recomienda que se realicen auditorías periódicas para asegurar el cumplimiento de las normativas y la transparencia en las relaciones comerciales entre laboratorios y distribuidores.</w:t>
      </w:r>
    </w:p>
    <w:p>
      <w:r>
        <w:rPr>
          <w:b/>
        </w:rPr>
        <w:t>[Pages 10–12]</w:t>
      </w:r>
    </w:p>
    <w:p>
      <w:r>
        <w:t xml:space="preserve">2003, MSD and JC in February and March 2007 respectively, SANOFI in early 2008, and finally AZ and BI completed the establishment of the free price in May/June 2008.  </w:t>
        <w:br/>
        <w:t xml:space="preserve">- The number of distributors with whom the laboratories establish commercial relationships varies from one to another.  </w:t>
        <w:br/>
        <w:t xml:space="preserve">11. Regarding the issue of shortages, the DI states in its proposal for filing the following:  </w:t>
        <w:br/>
        <w:t xml:space="preserve">Regarding JC  </w:t>
        <w:br/>
        <w:t xml:space="preserve">(49) According to information provided by JC on July 7, 2009 (folios 967 to 980), several wholesale warehouses, to which JC does not supply directly, requested the AEMPS to order JC to cease the lack of supply. These requests were not addressed by the AEMPS. The applicants filed an administrative appeal that was expressly dismissed and resorted to judicial proceedings. The AEMPS, however, in view of the wholesalers' request, drafted a report on March 8, 2008, stating the following (folios 979 and 980):  </w:t>
        <w:br/>
        <w:t xml:space="preserve">- that there had been no complaints in recent months regarding shortages of JC products,  </w:t>
        <w:br/>
        <w:t xml:space="preserve">- that the laboratory had declared that the established system allows it to keep the entire market supplied,  </w:t>
        <w:br/>
        <w:t xml:space="preserve">- that the criteria for selecting wholesalers had been territorial coverage, distribution areas, market share, area of influence, quality of technological systems, etc. They had also taken into account the profile of "pharmaceutical cooperative" because it has greater penetration and proximity to pharmacies, having expressly confirmed that they serve both cooperative members and non-members,  </w:t>
        <w:br/>
        <w:t xml:space="preserve">- that the contracts signed with wholesalers expressly provide the signing wholesalers the right to supply JC medications to any other wholesalers, so any Spanish wholesaler can acquire said medications even if the laboratory does not supply them directly,  </w:t>
        <w:br/>
        <w:t xml:space="preserve">- that the AEMPS had sent letters to the General Directorates of the Health Departments to supervise the adequate supply to pharmacies of JC medications and to communicate to the Agency any shortages attributable to the laboratory.  </w:t>
        <w:br/>
        <w:t xml:space="preserve">(50) On the other hand, the State Attorney, on May 27, 2009, in his response to the appeal filed by a wholesaler claiming the right to be supplied, states the following (folios 970 to 978):  </w:t>
        <w:br/>
        <w:t xml:space="preserve">12 Appeal 807/2008 filed by Comercial Farmacéutica against the Ministry of Health and Consumption before the Administrative Litigation Chamber of the High Court of Justice of Madrid (eighth section)  </w:t>
        <w:br/>
        <w:t xml:space="preserve">- that in accordance with the provisions of Law 29/2006, on Medicines, the exercise of distribution can be carried out either by warehouse or directly by the laboratory,  </w:t>
        <w:br/>
        <w:t xml:space="preserve">- that article 68.1 of Law 29/2006 does not require that distribution be carried out through all wholesalers and that the purpose of the regulation is not distribution itself, but to guarantee supply,  </w:t>
        <w:br/>
        <w:t xml:space="preserve">- that the AEMPS has confirmed that there is no shortage and maintains surveillance over JC products,  </w:t>
        <w:br/>
        <w:t xml:space="preserve">- that the requested administrative intervention is not justified because in addition to the above, there is also no need for health protection from the perspective of community law that could justify the adoption of interventionist measures,  </w:t>
        <w:br/>
        <w:t xml:space="preserve">- that wholesalers can acquire JC products through other wholesalers.  </w:t>
        <w:br/>
        <w:t xml:space="preserve">Regarding MSD  </w:t>
        <w:br/>
        <w:t xml:space="preserve">- It only supplies directly and exceptionally to pharmacies when it is obliged to do so to avoid cases of shortages.  </w:t>
        <w:br/>
        <w:t xml:space="preserve">Regarding LILLY  </w:t>
        <w:br/>
        <w:t xml:space="preserve">(62) Regarding the shortage problem referred to by the complainant, FARMAINDUSTRIA sent a letter to the DGFPS on February 28, 2008, requesting that the aforementioned DG inform them in this regard (folio 866).  </w:t>
        <w:br/>
        <w:t xml:space="preserve">(63) On April 22, 2008, the DGFPS responded that it had no record of the existence of shortages of medications "except for situations that occur habitually and that the Agency communicates punctually. Another issue is possible alterations or inefficiencies in the supply of medications, which we are analyzing to adopt the appropriate measures." (folio 867).  </w:t>
        <w:br/>
        <w:t xml:space="preserve">Regarding SANOFI  </w:t>
        <w:br/>
        <w:t xml:space="preserve">(71) SANOFI, starting in October 2007, limited direct sales to pharmacies to cases where there were shortages and/or specific/special supply needs (folio 457).  </w:t>
        <w:br/>
        <w:t xml:space="preserve">(72) Regarding the alleged shortage, SANOFI was requested by various state and regional health authorities throughout 2007 to provide information about alleged incidents of shortages (folios 462, 614 and 615, 618, 620, 622, 624 and 625, 629, 632, 635, 638, 641 to 643, 646, 648, 650, 656, 660). The laboratory provided the health authorities with documented responses stating that in most cases the necessary and/or usual amount of product had been put on the market except for some isolated cases of production problems (folios 462, 616 and 617, 619, 621, 623, 626 to 628, 630 and 631, 633 and 634, 636 and 637, 639 and 640, 644 and 645, 647, 649, 651 to 655, 657 to 659, 661 and 662). Furthermore, SANOFI informed, without being requested by health authorities, about certain technical incidents that could cause supply problems for some specialties (folios 462 and 663 to 667).  </w:t>
        <w:br/>
        <w:t xml:space="preserve">(73) SANOFI has established an internal system for detecting shortages that is carried out by making calls to pharmacies in all provinces according to a statistical sampling (folios 463 and 464). To remedy any shortages, SANOFI resorts to direct supply to the pharmacies that request it (folio 465).  </w:t>
        <w:br/>
        <w:t xml:space="preserve">Regarding NOVARTIS  </w:t>
        <w:br/>
        <w:t xml:space="preserve">(81) Regarding the alleged shortage, after March 1, 2008, the date on which NOVARTIS ended the supply relationship it maintained with some wholesalers, NOVARTIS has not received any notification from health authorities informing it of the existence of shortages of any product or requesting information in this regard. However, NOVARTIS has a supply guarantee service - a 900 line - of which pharmacies have been informed, so that the laboratory commits to deliver the order within the following 24 hours (folio 839).  </w:t>
        <w:br/>
        <w:t xml:space="preserve">Regarding BI  </w:t>
        <w:br/>
        <w:t xml:space="preserve">(94) Regarding the problems of shortages, BI states that when it has had problems with the availability of any medication, it has communicated this to the health authorities so that necessary measures could be taken and has put all means at its disposal to resolve the problem. It provides letters sent in February 2007 to the Generalitat de Catalunya and to the AEMPS informing them about the shortage in pharmacies of a certain medication despite having supplied the warehouses with 15% more in 2006 than what was supplied in 2005 (folios 798 to 802).  </w:t>
        <w:br/>
        <w:t xml:space="preserve">12. Regarding the mention made by the complainant concerning the margin applied to the PVL by the laboratories in their direct sale to pharmacies, the DI assesses that although initially the regulation on wholesale margins referred exclusively to wholesale warehouses, the regulatory change to the new RD 823/2008 replaces references to wholesale warehouses with distribution in general, and therefore also encompasses laboratories.  </w:t>
        <w:br/>
        <w:t>13. Finally, regarding the complementary conduct of implementing a dual pricing system based on the information about pharmacies that wholesalers would be providing to laboratories, and which the complainant argues is detrimental to their interests, the DI reiterates the analysis carried out in file S/0017/07 and concludes again that it has been designed this way so that laboratories access the necessary information to bill according to the regulated prices only those medications actually financed by the public health system. These systems have been designed so that the</w:t>
      </w:r>
    </w:p>
    <w:p>
      <w:r>
        <w:rPr>
          <w:b/>
        </w:rPr>
        <w:t>[Pages 13–15]</w:t>
      </w:r>
    </w:p>
    <w:p>
      <w:r>
        <w:t xml:space="preserve">information about the pharmacy appears coded, and therefore is not identifiable.  </w:t>
        <w:br/>
        <w:t xml:space="preserve">14. Consequently, the DI submits a proposal to the Council in which it states: "In light of all that has been acted upon and in accordance with the provisions of Article 49.3 of the LDC, it is proposed that no sanctioning procedure be initiated, as well as the filing of the proceedings, considering that there are no indications of an infringement of the Law."  </w:t>
        <w:br/>
        <w:t xml:space="preserve">15. The Council deliberated and ruled on the present file in its plenary session on February 3, 2010.  </w:t>
        <w:br/>
        <w:t xml:space="preserve">LEGAL GROUNDS  </w:t>
        <w:br/>
        <w:t xml:space="preserve">FIRST.- The purpose of this Resolution is to determine whether the eight pharmaceutical companies reported by the Spanish Federation of Spanish Pharmacies have engaged in conduct classified as an infringement under the Spanish Competition Defense Law and Article 101 of the TFEU. The complaint also extends to an infringement of Article 16.3.b of the Unfair Competition Law.  </w:t>
        <w:br/>
        <w:t xml:space="preserve">The complainant focuses on the fact that the conduct carried out by the pharmaceutical companies effectively establishes a dual pricing system for pharmaceutical products, and that this system has already been declared an infringement of Article 101 (formerly Article 81) of the TFEU by the European Commission in its decision 2001/791/EC of May 8, 2001, and that such infringement has been confirmed by the GC (formerly CFI) in its judgment of September 27, 2006. In their view, to implement the dual pricing system, a new distribution system has been established that entails two other necessary conducts for this purpose, such as the expulsion of certain wholesalers and the design of an information system that informs pharmaceutical companies, through wholesalers, of sensitive information about pharmacies. Furthermore, it is alleged that, in order to enforce this new distribution system, the pharmaceutical companies would have caused shortages of certain pharmaceutical specialties, subsequently supplying pharmacies directly at a price that adds to the PVL the margin reserved, in their opinion, for wholesalers.  </w:t>
        <w:br/>
        <w:t xml:space="preserve">The complainant acknowledges that the economic impact on the final price of the products for the pharmacy is null, but alleges that in order to carry out the pharmaceutical companies' claims (to apply a free price to all products sold outside public funding of the health system), they require access to information that is sensitive information about pharmacies.  </w:t>
        <w:br/>
        <w:t xml:space="preserve">The complainant provides a series of letters in which the pharmaceutical companies inform wholesalers that certain changes will be made in their commercial relationships. These letters were already analyzed by the CNC in file S/0017/07, cited in the background, as were the commercial relationships between the pharmaceutical companies and wholesalers. On this occasion, as was the case previously, the DI concludes that there are no indications of any conduct that could be classified as infringing the LDC or the TFEU.  </w:t>
        <w:br/>
        <w:t xml:space="preserve">Regarding the complaint about possible shortages, the DI concludes that this, in its case, would be subject to analysis by health authorities, and concerning the price that the laboratory would charge the pharmacy in cases of direct sale, that is, the PVL plus the distributor's margin, it is not perceived that it fits within the conducts considered restrictive of competition.  </w:t>
        <w:br/>
        <w:t xml:space="preserve">SECOND.- The complaint fundamentally focuses on the fact that the objective of the reported pharmaceutical companies is the establishment of the so-called dual pricing system in their relationships with wholesalers of their pharmaceutical specialties. The rest of the reported conducts, such as the expulsion of wholesalers, the information system regarding products dispensed with public funding, the possible shortages, or the commercial margin applied by the laboratory when selling directly to pharmacies, are merely necessary conducts to implement the dual pricing system.  </w:t>
        <w:br/>
        <w:t xml:space="preserve">The so-called dual pricing system in the pharmaceutical sector has been the subject of decisions and judgments from both Spanish and European competition authorities, as well as from ordinary jurisdiction. In this sense, the decision of the EC in the Glaxo Wellcome case, and its subsequent judgment from the CFI, cited in the complaint, as well as the recent judgment of the CJEU of October 6, 2009, in its review of the CFI judgment (joined cases C-501/06 P, C-513/06 P, C-515/06 P, and C-519/06 P), have considered that this dual pricing system may constitute an infringement of Article 101 (formerly 81) of the TFEU. In this cited case, the analyzed conduct consisted of the pharmaceutical company, Glaxo Wellcome, establishing general sales conditions such that a maximum regulated price would apply to specialties dispensed in Spain and charged to the public health system, and a free price determined by the laboratory in other cases. The case reported in this file, like in the two immediate precedents (RCNC 2623/05 POAIN PHARMA, of May 21, 2009, and RCNC S/0017/07 EAEPC vs Pharmaceutical Laboratories, of September 14, 2009), regarding the commercial conditions established between pharmaceutical companies and wholesalers, shows no indication of the imposition of a dual price. The price set by the pharmaceutical companies is unique and free, and when the pharmaceutical company knows which products have been financed by the public health system, it applies the price that the administration has set as the maximum price. Therefore, we are not dealing with general sales conditions imposing a dual pricing system based on the destination of the product.  </w:t>
        <w:br/>
        <w:t xml:space="preserve">Furthermore, it cannot be directly concluded from the analysis of the jurisprudence, as the complainant claims, the immediate illegality of the dual pricing system, since the CJEU ruling establishes that the analysis of the conduct must be carried out within the legal and economic context of this sector. It emphasizes that this context is dominated by the existence of prices set by the respective regulations of the Member States, which leaves a small margin for competition among operators. However, if the CJEU assesses that while the margin for intrabrand competition among Member States is reduced, the elimination of parallel imports may eliminate that small margin in the destination countries. For this reason, it assesses that competition may indeed be affected in the sense of Article 101.1 of the TFEU, thus maintaining the infringement of this article as the EC did in its decision of 2001. However, it adds that given the specific sector in question, the elimination of parallel trade may find its justification in terms of efficiency that contribute to greater investments in research, which would benefit the consumer, so this type of conduct must be analyzed under the lens of Article 101.3 (formerly 81.3), to analyze its possible authorization.  </w:t>
        <w:br/>
        <w:t xml:space="preserve">THIRD.- Regarding the other reported conducts, their analysis from the competition perspective can be approached from a dual nature: whether they are individually anticompetitive or whether they are, as the complainant claims, indispensable elements for achieving the implementation of the dual price. Regarding their individual analysis, we find that there are not even indications of anticompetitive exclusions of wholesalers; Table 2 of the background reveals the existence of commercial relationships with a significant number of wholesalers, and there is also no anticompetitive aptitude in the information system designed to apply the price regulated by the administration to the products subject to such regulation.  </w:t>
        <w:br/>
        <w:t xml:space="preserve">Concerning the alleged shortages, their assessment by the CNC must be made in terms of their impact on the competitive conditions in the market, since on other issues the competencies would lie, as the DI points out, with the health authorities. Thus, if we were facing a shortage that had, for instance, the object or effect of the anticompetitive exclusion of an agent in the market, the pronouncement of the competition authorities would be justified. This is not the case, in the Council's view, as the existence of such shortages has not even been accredited by the health authorities. There is evidence of certain punctual shortages, which have triggered the relevant remediation protocol, without any indication of conduct that could be classified as contrary to competition.  </w:t>
        <w:br/>
        <w:t xml:space="preserve">Nor is the complaint regarding the illegality of applying the distribution margin to the PVL in cases of direct sale substantiated, as the DI concludes, since it is neither illegal, nor is there any anticompetitive effect perceived in it. From what has been done in the file, it is noted that this pricing system for the pharmacy is used in cases of direct sale from the pharmaceutical company to the pharmacy, resulting from a shortage that is intended to be remedied. Thus, the pharmacy will pay the same acquisition price, whether supplied by the wholesaler or directly by the pharmaceutical company. Therefore, it is not perceived what the anticompetitive nature of this action by the pharmaceutical companies would be.  </w:t>
        <w:br/>
        <w:t xml:space="preserve">For all the above reasons, there are no indications that these conducts are individually contrary to the LDC, nor that the conjunction of all of them configures the de facto implementation of a dual pricing system of which there is also no direct evidence.  </w:t>
        <w:br/>
        <w:t>FOURTH.- The complaint also extends to an infringement of the Unfair Competition Law, specifically an infringement of Article 16.3.b. The CNC, based on Article 3 of Law 15/2007, will understand that a conduct is prohibited</w:t>
      </w:r>
    </w:p>
    <w:p>
      <w:r>
        <w:rPr>
          <w:b/>
        </w:rPr>
        <w:t>[Pages 16–16]</w:t>
      </w:r>
    </w:p>
    <w:p>
      <w:r>
        <w:t xml:space="preserve">when, in the case of an unfair practice, it affects the public interest by distorting free competition. Specifically, article 16.3.b considers as an unfair act “The obtaining, under the threat of breaking commercial relations, of prices, payment conditions, sales modalities, payment of additional charges, and other conditions of commercial cooperation not included in the supply contract that has been agreed upon.”  </w:t>
        <w:br/>
        <w:t xml:space="preserve">Applying the reiterated doctrine of the CNC in this matter, if such conduct is proven, its sanction by the Council would require the assessment that it affects the public interest by distorting competition. In the present case, there are no indications that the pharmaceutical companies are acting as described in article 16.3.b, as the complainant points out. There have also been no indications in the other behaviors that could be categorized as unfair acts that would lead to an assessment of distortion of competition, therefore the Council does not perceive a possible infringement of article 3 of the LDC.  </w:t>
        <w:br/>
        <w:t xml:space="preserve">For all the above reasons, this Council adopts the proposal submitted by the Directorate of Investigation not to initiate sanctioning proceedings and to archive the actions taken, due to the lack of evidence of infringement, and consequently  </w:t>
        <w:br/>
        <w:t xml:space="preserve">HAS RESOLVED  </w:t>
        <w:br/>
        <w:t xml:space="preserve">SOLE.- Not to initiate sanctioning proceedings against the companies reported by the FEDERACIÓN EMPRESARIAL DE FARMACÉUTICOS ESPAÑOLES in its complaint of January 23, 2008, based on article 49.3 of law 15/2007 of July 3, on Defense of Competition and to archive the actions taken so far in file S/0038/08 FEFE VS PHARMACEUTICAL LABORATORIES.  </w:t>
        <w:br/>
        <w:t>Communicate this Resolution to the Directorate of Investigation and notify PFIZER, S.A., JANSSEN-CILAG, S.A., MERCK SHARP &amp; DOHME ESPAÑA, S.A., LILLY, S.A., SANOFI-AVENTIS ESPAÑA, S.A., NOVARTIS FARMACÉUTICA, S.A., BOEHRINGER INGELHEIM ESPAÑA, S.A., ASTRA ZENECA, and to the FEDERACIÓN EMPRESARIAL DE FARMACÉUTICOS ESPAÑOLES, informing them that this concludes the administrative process,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