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https://www.cnmc.es/expedientes/s004208</w:t>
      </w:r>
    </w:p>
    <w:p>
      <w:r>
        <w:t>Pages translated : 4</w:t>
      </w:r>
    </w:p>
    <w:p/>
    <w:p>
      <w:r>
        <w:rPr>
          <w:b/>
        </w:rPr>
        <w:t>[Pages 1–3]</w:t>
      </w:r>
    </w:p>
    <w:p>
      <w:r>
        <w:t xml:space="preserve">RESOLUTION (Expt. S/0042/08, Trade of Coffins)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September 23, 2008  </w:t>
        <w:br/>
        <w:t xml:space="preserve">The Council of the National Competition Commission (CNC), with the composition stated above, has issued the following Resolution in File S/0042/2008, processed as a result of the complaint filed by SETABIS TRAINING S.L. (UNICOFFIN) against MADERARTE XÁTIVA S.L., for alleged conduct prohibited by Law 15/2007, of July 3, on Competition Defense (LDC).  </w:t>
        <w:br/>
        <w:t xml:space="preserve">FACTUAL BACKGROUND  </w:t>
        <w:br/>
        <w:t xml:space="preserve">1.- On January 28, 2008, a complaint was received at the CNC from SETABIS TRAINING, S.L. (UNICOFFIN) against MADERARTE XATIVA 2000, S.L., for violation of arts. 1, 2, and 3 LDC, although it only develops arguments related to the infringement of art. 1 LDC. In summary, the reported facts consist of a local Chinese manufacturer named HUA-SUI CABINET MAKET CO, Ltd. of coffins submitting registration applications for several coffin designs to the Patent Office in Beijing, which, according to the complainant, are commonly used in the funeral sector in Spain and have been part of the public domain for several years, thus cannot be exclusively appropriated. Furthermore, the complaint states that the aforementioned Chinese manufacturer has signed an exclusive export contract to Spain with its competitor being reported. According to the complainant, if these facts are confirmed, HUA-SUI would have the ability to prohibit third parties from manufacturing the registered designs and MADERARTE would be the only company authorized to import them from China and introduce them into the Spanish market; a situation that would grant the latter a competitive advantage (for technical and cost reasons) capable of producing a restriction of competition in the Spanish coffin market.  </w:t>
        <w:br/>
        <w:t xml:space="preserve">2.- After conducting various confidential information proceedings and in accordance with the provisions of art. 49.3 LDC, on July 31, 2008, the Investigation Directorate (DI) of the CNC submitted to this Council a Proposal for the Filing of the actions carried out based on the following legal reasoning:  </w:t>
        <w:br/>
        <w:t xml:space="preserve">“1. Art. 1 of the Competition Defense Law 15/2007 (hereinafter, LDC), under the heading “Collusive Conducts”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 b) The limitation or control of production, distribution; technical development or investments; c) The allocation of the market or sources of supply. It could be questioned whether the reported agreement of exclusive supply to MADERARTE in the Spanish market of the models patented by HUA-SUI constitutes a restriction of competition as defined in art. 1 of the LDC, and is not exempt under Commission Regulation (EC) No. 2790/1999 of December 22, 1999, on vertical agreements and concerted practices.  </w:t>
        <w:br/>
        <w:t xml:space="preserve">However, it has not been proven that MADERARTE is the beneficiary of an exclusive importation of the mentioned coffin models. The absence of exclusivity would determine that MADERARTE is not the only company authorized to import the cited models from China, so that any operator would be authorized to import these same models, without being at a competitive disadvantage with respect to MADERARTE.  </w:t>
        <w:br/>
        <w:t xml:space="preserve">2. Article 2 of the Competition Defense Law prohibits the abuse of a dominant position, stating in its section 2, “the abusive exploitation by one or several companies of their dominant position in all or part of the national market is prohibited.” From the information gathered by the DI, it does not appear that MADERARTE holds a dominant position in the market for the manufacture, distribution, and trade of coffins, which, combined with the lack of evidence of the exclusive agreement we referred to in the previous section, determines that there are no indications of infringement of Article 2 of the Competition Defense Law.  </w:t>
        <w:br/>
        <w:t xml:space="preserve">3. Article 3 of the Competition Defense Law assigns the CNC the authority to address acts of unfair competition that, by distorting free competition, affect the public interest.  </w:t>
        <w:br/>
        <w:t xml:space="preserve">From the complaint, it does not appear that there are indications of affecting competition nor, therefore, the relevant public interest. Therefore, this Investigation Directorate understands that it is not appropriate to analyze a supposed disloyalty of the reported conduct. A ruling of this kind would, in any case, be futile for the purposes of the prohibition contained in Article 3 LDC, whatever the outcome of that legal qualification.”  </w:t>
        <w:br/>
        <w:t xml:space="preserve">3.- The Council of the National Competition Commission deliberated and ruled this Resolution in its meeting on September 17, 2008.  </w:t>
        <w:br/>
        <w:t xml:space="preserve">LEGAL GROUNDS  </w:t>
        <w:br/>
        <w:t xml:space="preserve">First.- Number 3 of Article 49 of the Competition Defense Law (LDC) provides that the Council, at the proposal of the Investigation Directorate of the National Competition Commission, may agree not to initiate sanctioning proceedings for the alleged commission of the prohibited conducts in Articles 1, 2, and 3 of the Law and, consequently, the filing of the actions carried out by the Investigation Directorate when it considers that there are no indications of infringement of the LDC.  </w:t>
        <w:br/>
        <w:t>Second.- The Council of the National Competition Commission considers that the Proposal of the Investigation Directorate adequately analyzes the</w:t>
      </w:r>
    </w:p>
    <w:p>
      <w:r>
        <w:rPr>
          <w:b/>
        </w:rPr>
        <w:t>[Pages 4–4]</w:t>
      </w:r>
    </w:p>
    <w:p>
      <w:r>
        <w:t>the reported facts and their legal consequences from the perspective of Competition Defense Law. The existence of indications of infringement of art. 1 LDC is ruled out from the moment there is no data in the file that allows us to affirm that the accused is the beneficiary of an exclusive importation of the coffin models mentioned in the complaint. Likewise, from the information contained in the file, it does not even appear indicatively that the accused holds a dominant position, so the possible infringement of art. 2 LDC can also be ruled out. Finally, for the reasons previously mentioned and without the need to analyze the possible competitive unfairness of the reported conduct, there are also no indications that it may affect the relevant public interest for the purposes of the conduct typified in art. 3 LDC.</w:t>
      </w:r>
    </w:p>
    <w:p>
      <w:r>
        <w:t>Consequently, in view of the cited provisions and those of general application, the Council of the National Competition Commission</w:t>
      </w:r>
    </w:p>
    <w:p>
      <w:r>
        <w:t>HAS RESOLVED</w:t>
      </w:r>
    </w:p>
    <w:p>
      <w:r>
        <w:t>SOLE.- Not to initiate sanctioning proceedings and to file the actions taken as a result of the complaint filed by SETABIS TRAINING, S.L. (UNICOFFIN), considering that there are no indications of infringement of the Competition Defense Law.</w:t>
      </w:r>
    </w:p>
    <w:p>
      <w:r>
        <w:t>This Resolution shall be communicated to the Investigation Directorate and notified to the complaining and accused companies,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