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https://www.cnmc.es/expedientes/s004219</w:t>
      </w:r>
    </w:p>
    <w:p>
      <w:r>
        <w:t>Pages translated : 5</w:t>
      </w:r>
    </w:p>
    <w:p/>
    <w:p>
      <w:r>
        <w:rPr>
          <w:b/>
        </w:rPr>
        <w:t>[Pages 1–3]</w:t>
      </w:r>
    </w:p>
    <w:p>
      <w:r>
        <w:t xml:space="preserve">S/0042/19  </w:t>
        <w:br/>
        <w:t xml:space="preserve">SECOND B AND THIRD DIVISION FOOTBALL  </w:t>
        <w:br/>
        <w:t xml:space="preserve">RESOLUTION  </w:t>
        <w:br/>
        <w:t xml:space="preserve">SECOND B AND THIRD DIVISION FOOTBALL  </w:t>
        <w:br/>
        <w:t xml:space="preserve">S/0042/19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June 1, 2022  </w:t>
        <w:br/>
        <w:t xml:space="preserve">The Competition Chamber of the Council of the National Commission on Markets and Competition (CNMC), with the composition expressed, has issued the following resolution in the reference file initiated by the Competition Directorate against the Royal Spanish Football Federation (RFEF), for alleged restrictive competition practices prohibited in article 2 of Law 15/2007, of July 3, on the Defense of Competition (LDC).  </w:t>
        <w:br/>
        <w:t xml:space="preserve">National Commission on Markets and Competition 1 of 5  </w:t>
        <w:br/>
        <w:t xml:space="preserve">C/ Alcalá, 47 – 28014 Madrid - C/ Bolivia, 56 – 08018 Barcelona  </w:t>
        <w:br/>
        <w:t>www.cnmc.es</w:t>
      </w:r>
    </w:p>
    <w:p>
      <w:r>
        <w:t xml:space="preserve">S/0042/19  </w:t>
        <w:br/>
        <w:t xml:space="preserve">SECOND B AND THIRD DIVISION FOOTBALL  </w:t>
        <w:br/>
        <w:t xml:space="preserve">I. BACKGROUND  </w:t>
        <w:br/>
        <w:t xml:space="preserve">(1) On July 30, 2019, the National Commission on Markets and Competition (CNMC) received a complaint filed by the COMMISSION OF THIRD AND SECOND DIVISION "B" CLUBS (PROLIGA1) against the Royal Spanish Football Federation (RFEF), for alleged conduct constituting an abuse of dominant position in relation to the exploitation of audiovisual rights corresponding to the Second Division B and Third Division men's football competitions.  </w:t>
        <w:br/>
        <w:t xml:space="preserve">(2) On December 4, 2020, the Competition Directorate (DC) agreed to initiate sanctioning proceedings against the RFEF.  </w:t>
        <w:br/>
        <w:t xml:space="preserve">(3) On January 11, 2021, a letter from PROLIGA was received by the CNMC in which it withdrew its complaint and requested the filing of the proceedings.  </w:t>
        <w:br/>
        <w:t xml:space="preserve">(4) On April 1, 2022, the DC issued the Proposal for Resolution (PR), in which it proposed the filing of the sanctioning procedure.  </w:t>
        <w:br/>
        <w:t xml:space="preserve">(5) The Competition Chamber of the CNMC Council deliberated and ruled on the matter in its meeting of June 1, 2022.  </w:t>
        <w:br/>
        <w:t xml:space="preserve">II. REGULATORY FRAMEWORK  </w:t>
        <w:br/>
        <w:t xml:space="preserve">(6) The main regulations applicable to this file are:  </w:t>
        <w:br/>
        <w:t xml:space="preserve">- Law 10/1990, of October 15, on Sport.  </w:t>
        <w:br/>
        <w:t xml:space="preserve">- Royal Decree-Law 5/2015, of April 30, in its first version and in the resulting modifications approved by Royal Decree Law 15/2021, of July 13.  </w:t>
        <w:br/>
        <w:t xml:space="preserve">III. RELEVANT MARKETS  </w:t>
        <w:br/>
        <w:t xml:space="preserve">(7) The Chamber considers that the relevant markets for this file are the organization of official non-professional football competitions and the commercial exploitation of such official non-professional football competitions, although narrower markets cannot be ruled out.  </w:t>
        <w:br/>
        <w:t xml:space="preserve">1 PROLIGA is a private non-profit association established in 2014 whose purpose is to represent and defend the rights and interests of clubs competing in the Second Division B and Third Division of football. In some documents, it is referred to as CCT.  </w:t>
        <w:br/>
        <w:t xml:space="preserve">National Commission on Markets and Competition 2 of 5  </w:t>
        <w:br/>
        <w:t xml:space="preserve">C/ Alcalá, 47 – 28014 Madrid - C/ Bolivia, 56 – 08018 Barcelona  </w:t>
        <w:br/>
        <w:t>www.cnmc.es</w:t>
      </w:r>
    </w:p>
    <w:p>
      <w:r>
        <w:t xml:space="preserve">S/0042/19  </w:t>
        <w:br/>
        <w:t xml:space="preserve">SECOND B AND THIRD DIVISION FOOTBALL  </w:t>
        <w:br/>
        <w:t xml:space="preserve">IV. ESTABLISHED FACTS  </w:t>
        <w:br/>
        <w:t xml:space="preserve">(8) From the 2016/2017 season to the 2020/2021 season, the regulations of the RFEF declared that the RFEF held the ownership of the television rights of the official competitions at the national level.  </w:t>
        <w:br/>
        <w:t xml:space="preserve">(9) During that period, the RFEF issued 6 authorizations for the exploitation of audiovisual rights related to the 2019/2020 season and 67 authorizations related to the 2020/2021 season. There are no records of disciplinary proceedings or expulsions for possible breaches, nor that the subsidies included any requirement related to the transfer of audiovisual rights by the clubs.  </w:t>
        <w:br/>
        <w:t xml:space="preserve">(10) For the 2016/2017 season, PROLIGA signed an agreement for the exploitation of audiovisual rights with the audiovisual operator [CONFIDENTIAL], although it did not generate income from commercialization.  </w:t>
        <w:br/>
        <w:t xml:space="preserve">(11) For the 2017/18 season, PROLIGA entered into a contract for the exploitation of audiovisual rights with [CONFIDENTIAL], with five television operators for the broadcast of specific matches and with the Galician Football Federation. These agreements allowed it to obtain income of less than 100,000 euros.  </w:t>
        <w:br/>
        <w:t xml:space="preserve">(12) For the 2018-2019 season, PROLIGA reached an agreement with the audiovisual operator [CONFIDENTIAL] regarding the model agreement for the transfer so that each club authorized [CONFIDENTIAL] to record and broadcast its matches and exploit such images.  </w:t>
        <w:br/>
        <w:t xml:space="preserve">(13) For the seasons 2019/2020 to 2022/2023, the RFEF and [CONFIDENTIAL] signed a collaboration agreement for 3 years, which was subsequently subject to novation, which established a model for clubs to transfer the rights of recording, broadcasting, and exploiting their matches to [CONFIDENTIAL].  </w:t>
        <w:br/>
        <w:t xml:space="preserve">2 Pages 126 to 131.  </w:t>
        <w:br/>
        <w:t xml:space="preserve">3 Page 608.  </w:t>
        <w:br/>
        <w:t xml:space="preserve">4 Page 136.  </w:t>
        <w:br/>
        <w:t xml:space="preserve">5 Pages 146, 156, 163, and 174.  </w:t>
        <w:br/>
        <w:t xml:space="preserve">6 Page 169.  </w:t>
        <w:br/>
        <w:t xml:space="preserve">7 Pages 509 to 524.  </w:t>
        <w:br/>
        <w:t xml:space="preserve">8 Pages 1,636 to 1,664.  </w:t>
        <w:br/>
        <w:t xml:space="preserve">9 Pages 1,636 to 1,664.  </w:t>
        <w:br/>
        <w:t xml:space="preserve">National Commission on Markets and Competition 3 of 5  </w:t>
        <w:br/>
        <w:t xml:space="preserve">C/ Alcalá, 47 – 28014 Madrid - C/ Bolivia, 56 – 08018 Barcelona  </w:t>
        <w:br/>
        <w:t>www.cnmc.es</w:t>
      </w:r>
    </w:p>
    <w:p>
      <w:r>
        <w:rPr>
          <w:b/>
        </w:rPr>
        <w:t>[Pages 4–5]</w:t>
      </w:r>
    </w:p>
    <w:p>
      <w:r>
        <w:t xml:space="preserve">S/0042/19  </w:t>
        <w:br/>
        <w:t>SECOND B AND THIRD DIVISION FOOTBALL</w:t>
      </w:r>
    </w:p>
    <w:p>
      <w:r>
        <w:t xml:space="preserve">V. LEGAL GROUNDS  </w:t>
        <w:br/>
        <w:t xml:space="preserve">V.1. [FIRST] Jurisdiction to Resolve  </w:t>
        <w:br/>
        <w:t>(14) The jurisdiction to resolve this procedure corresponds to the Competition Chamber of the CNMC Council, in accordance with articles 5.1.c) of the Law on the creation of the CNMC and 14.1.a) of the Organic Statute of the CNMC.</w:t>
      </w:r>
    </w:p>
    <w:p>
      <w:r>
        <w:t xml:space="preserve">V.2. [SECOND] Assessment of the Competition Chamber  </w:t>
        <w:br/>
        <w:t xml:space="preserve">(15) To prove the existence of an abuse of dominant position practice, in accordance with article 2 of the LDC, it is necessary, firstly, to determine whether an entity holds a dominant position in the defined relevant markets and, secondly, to examine whether the conduct it engages in has constituted an abuse.  </w:t>
        <w:br/>
        <w:t xml:space="preserve">(16) Specifically, from the concurrence of both requirements, it must be deduced with sufficient certainty the existence of a prohibited abusive practice consisting of the exclusive attribution of the exploitation of all audiovisual rights of the Second Division B and Third Division competitions to the detriment of the rights that correspond to the participating clubs.  </w:t>
        <w:br/>
        <w:t xml:space="preserve">(17) This analysis must be carried out based on the specific proven facts in this file and the conduct of the RFEF during the period referred to in the instruction.  </w:t>
        <w:br/>
        <w:t xml:space="preserve">(18) In the opinion of this Chamber, it cannot be ruled out that the RFEF holds a dominant position in the market for the organization of official non-professional football competitions in Spain. However, from the background presented, the concurrence of the second of the requirements that make up the infringing type is not proven with the required degree of certainty.  </w:t>
        <w:br/>
        <w:t>(19) In light of all that has been acted upon and in accordance with article 50.4 of the LDC, this Chamber considers that a prohibited practice as provided for in article 2 of the LDC has not been proven by the RFEF, therefore, the declaration of non-credibility of the conduct initially attributed in the Statement of Facts and the filing of the proceedings regarding this alleged conduct is appropriate.</w:t>
      </w:r>
    </w:p>
    <w:p>
      <w:r>
        <w:t xml:space="preserve">S/0042/19  </w:t>
        <w:br/>
        <w:t>SECOND B AND THIRD DIVISION FOOTBALL</w:t>
      </w:r>
    </w:p>
    <w:p>
      <w:r>
        <w:t xml:space="preserve">VI. RESOLVES  </w:t>
        <w:br/>
        <w:t xml:space="preserve">Sole. The filing of the proceedings against the Royal Spanish Football Federation for a possible infringement of article 2 of the LDC.  </w:t>
        <w:b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