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https://www.cnmc.es/expedientes/s004719</w:t>
      </w:r>
    </w:p>
    <w:p>
      <w:r>
        <w:t>Pages translated : 17</w:t>
      </w:r>
    </w:p>
    <w:p/>
    <w:p>
      <w:r>
        <w:rPr>
          <w:b/>
        </w:rPr>
        <w:t>[Pages 1–3]</w:t>
      </w:r>
    </w:p>
    <w:p>
      <w:r>
        <w:t xml:space="preserve">RESOLUTION  </w:t>
        <w:br/>
        <w:t xml:space="preserve">S/0047/19 CARREFOUR TEXTBOOKS  </w:t>
        <w:br/>
        <w:t xml:space="preserve">COUNCIL. COMPETITION CHAMBER  </w:t>
        <w:br/>
        <w:t xml:space="preserve">Chairwoman  </w:t>
        <w:br/>
        <w:t xml:space="preserve">Ms. Cani Fernández Vicién  </w:t>
        <w:br/>
        <w:t xml:space="preserve">Councillors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Madrid, on September 21, 2021.  </w:t>
        <w:br/>
        <w:t xml:space="preserve">The Competition Chamber of the Council of the National Commission of Markets and Competition (CNMC), with the composition expressed in the margin, has issued the following Resolution in File S/0047/19, CARREFOUR TEXTBOOKS, processed following the complaint filed by the GREMIO DE LIBREROS DE VALLADOLID against the CENTRO COMERCIAL CARREFOUR PARQUESOL of Valladolid, for the commission of an alleged practice contrary to Article 3 of Law 15/2007, of July 3, on Competition Defense (LDC).  </w:t>
        <w:br/>
        <w:t xml:space="preserve">S/0047/19 CARREFOUR TEXTBOOKS National Commission of Markets and Competition Page 1 of 17  </w:t>
        <w:br/>
        <w:t xml:space="preserve">C/ Barquillo, 5 – 28004 Madrid - C/ Bolivia, 56 – 08018 Barcelona  </w:t>
        <w:br/>
        <w:t>www.cnmc.es</w:t>
      </w:r>
    </w:p>
    <w:p>
      <w:r>
        <w:t xml:space="preserve">INDEX OF CONTENTS  </w:t>
        <w:br/>
        <w:t xml:space="preserve">I. STATEMENT OF FACTS .................................................................................... 3  </w:t>
        <w:br/>
        <w:t xml:space="preserve">II. THE PARTIES .................................................................................................................. 4  </w:t>
        <w:br/>
        <w:t xml:space="preserve">1. DEFENDANT: Carrefour Commercial Centers (CARREFOUR) ...................... 4  </w:t>
        <w:br/>
        <w:t xml:space="preserve">2. COMPLAINANT: GREMIO DE LIBREROS DE VALLADOLID (GREMIO) ....... 4  </w:t>
        <w:br/>
        <w:t xml:space="preserve">III. NORMATIVE FRAMEWORK ................................................................................................... 4  </w:t>
        <w:br/>
        <w:t xml:space="preserve">IV. CHARACTERIZATION OF THE MARKET ...................................................................... 7  </w:t>
        <w:br/>
        <w:t xml:space="preserve">1. Product Market ................................................................................................. 7  </w:t>
        <w:br/>
        <w:t xml:space="preserve">2. Geographic Market.................................................................................................... 9  </w:t>
        <w:br/>
        <w:t xml:space="preserve">V. REPORTED AND INVESTIGATED FACTS ...................................................... 10  </w:t>
        <w:br/>
        <w:t xml:space="preserve">VI. LEGAL GROUNDS ................................................................................. 11  </w:t>
        <w:br/>
        <w:t xml:space="preserve">FIRST. Competence to resolve, subject of the resolution and proposal of the DC 11  </w:t>
        <w:br/>
        <w:t xml:space="preserve">SECOND. Assessment of the Competition Chamber ............................................................ 12  </w:t>
        <w:br/>
        <w:t xml:space="preserve">VII. RESOLVES ................................................................................................................... 17  </w:t>
        <w:br/>
        <w:t xml:space="preserve">S/0047/19 CARREFOUR TEXTBOOKS National Commission of Markets and Competition Page 2 of 17  </w:t>
        <w:br/>
        <w:t xml:space="preserve">C/ Barquillo, 5 – 28004 Madrid - C/ Bolivia, 56 – 08018 Barcelona  </w:t>
        <w:br/>
        <w:t>www.cnmc.es</w:t>
      </w:r>
    </w:p>
    <w:p>
      <w:r>
        <w:t xml:space="preserve">I. STATEMENT OF FACTS  </w:t>
        <w:br/>
        <w:t xml:space="preserve">1. On September 4, 2019, the Directorate of Competition (DC) received a document from the Competition Defense Service of Castilla y León, which, pursuant to Article 2.1 of Law 1/2002, of February 21, on the Coordination of the Competencies of the State and the Autonomous Communities in matters of Competition Defense (Law 1/2002), communicated the complaint from the GREMIO DE LIBREROS DE VALLADOLID against the CENTRO COMERCIAL CARREFOUR PARQUESOL of Valladolid. The document reported the possible non-compliance with Law 10/2007, of June 22, on Reading, Books, and Libraries, which would affect free competition with the rest of the bookstores in Valladolid. Specifically, it refers to the promotion of textbooks carried out in the CARREFOUR commercial centers, whereby for every €90 spent on textbooks for Primary and Compulsory Secondary Education purchased at CARREFOUR hypermarkets nationwide, €10 is given for purchases in stationery, school backpacks, computers, and textiles.  </w:t>
        <w:br/>
        <w:t xml:space="preserve">2. The Competition Defense Service of Castilla y León considered that the competent body to address the alleged infringement was the CNMC, as the reported facts were likely to alter free competition beyond the autonomous scope.  </w:t>
        <w:br/>
        <w:t xml:space="preserve">3. In view of the information contained in the complaint and in the note from the Competition Defense Service of Castilla y León, the DC considered, without assessing the substance of whether the reported behaviors constituted an infringement of the LDC or not, that the reported practices were carried out within the framework of a commercial campaign established for CARREFOUR commercial centers throughout the national territory, so that the effects, if any, would exceed the autonomous scope of Castilla y León. Thus, the DC indicated, following the proposal of the Competition Defense Service of Castilla y León, that the requirements established in Article 1.1 of Law 1/2002 were met, and therefore the DC of the CNMC was competent to know the aforementioned matter.  </w:t>
        <w:br/>
        <w:t xml:space="preserve">4. In accordance with Article 49.2 of the LDC, the DC agreed to carry out a reserved inquiry with reference number S/0047/19, and on November 26, 2020, within the framework of the same and in accordance with the provisions of Article 39.1 of the LDC regarding the duty of collaboration of individuals or legal entities with the DC, requested additional information from CARREFOUR regarding the reported facts (pages 19 to 21). The response to this information request took place on December 14, 2020 (pages 25 to 102).  </w:t>
        <w:br/>
        <w:t xml:space="preserve">5. On February 2, 2021, additional documentation provided by CARREFOUR was received (pages 106 to 122).  </w:t>
        <w:br/>
        <w:t xml:space="preserve">S/0047/19 CARREFOUR TEXTBOOKS National Commission of Markets and Competition Page 3 of 17  </w:t>
        <w:br/>
        <w:t xml:space="preserve">C/ Barquillo, 5 – 28004 Madrid - C/ Bolivia, 56 – 08018 Barcelona  </w:t>
        <w:br/>
        <w:t>www.cnmc.es</w:t>
      </w:r>
    </w:p>
    <w:p>
      <w:r>
        <w:rPr>
          <w:b/>
        </w:rPr>
        <w:t>[Pages 4–6]</w:t>
      </w:r>
    </w:p>
    <w:p>
      <w:r>
        <w:t xml:space="preserve">6. On February 17, 2021, the DC agreed to incorporate into the file (folio 123), as it was useful for the same, two reports: the "Report on Domestic Book Trade in Spain 2019" (folios 124 to 299) and the "Report on the Book Sector in Spain April 2018" (folios 300 to 449).  </w:t>
        <w:br/>
        <w:t xml:space="preserve">7. On February 23, 2021, pursuant to the provisions of Article 49.3 of the LDC, the DC issued a proposal for the non-initiation of sanctioning proceedings and the filing of the actions taken as a result of the complaint, considering that there were no indications of infringement (folios 452 to 466) and, in accordance with the provisions of Article 27 of the Competition Defense Regulation, approved by Royal Decree 261/2008, of February 22 (RDC), submitted to the Council of the CNMC its proposal for filing (folios 450 to 466).  </w:t>
        <w:br/>
        <w:t xml:space="preserve">8. The Competition Chamber of the Council of the CNMC deliberated and ruled on the matter in its meeting of September 21, 2021.  </w:t>
        <w:br/>
        <w:t xml:space="preserve">II. THE PARTIES  </w:t>
        <w:br/>
        <w:t xml:space="preserve">1. DEFENDANT: Carrefour Commercial Centers (CARREFOUR)  </w:t>
        <w:br/>
        <w:t xml:space="preserve">The Carrefour Commercial Centers Group operates in the retail distribution sector and has been present in Spain for over 45 years. It is a subsidiary of the French company Carrefour Group.  </w:t>
        <w:br/>
        <w:t xml:space="preserve">The Carrefour Commercial Centers group currently has 205 Carrefour hypermarkets, 110 Carrefour Market supermarkets, and more than 780 Carrefour Express supermarkets in Spain1.  </w:t>
        <w:br/>
        <w:t xml:space="preserve">2. COMPLAINANT: GREMIO DE LIBREROS DE VALLADOLID (GREMIO)  </w:t>
        <w:br/>
        <w:t xml:space="preserve">The GREMIO of booksellers of Valladolid was established as a union of the bookstores in Valladolid, to promote the sector, defend the interests, and represent booksellers before society, and is constituted as an organ of union, representation, promotion, management, and defense of the professional interests of its members, under the protection of Law 19/1977 of April 1 2. It currently consists of twenty bookstores in Valladolid.  </w:t>
        <w:br/>
        <w:t xml:space="preserve">III. NORMATIVE FRAMEWORK  </w:t>
        <w:br/>
        <w:t xml:space="preserve">The sector of publishing and marketing of books in Spain is primarily regulated by Law 10/2007, of June 22, on Reading, Books, and Libraries (commonly referred to as the "Book Law"). Both in this law and in its predecessor (Law 9/1975, of March 12, on Books), a series of particular conditions for the marketing of these products are established, which differ from the price freedom that, in general, applies to all products according to Law 7/1996, of January 15, on the Regulation of Retail Trade3.  </w:t>
        <w:br/>
        <w:t xml:space="preserve">Article 9 of the Book Law determines that books in Spanish and in any of the official languages of Spain must have a "fixed price" for sale to the public or for transaction to the final consumer, established by the publisher of the book (or, where applicable, by the importer), which must be indicated on the book itself and must always be respected by "the bookseller or any other economic operator, including wholesalers." The final retail price applied must be between 95% and 100% of the fixed price, that is, a maximum discount of 5% at the retail level on the price set by the publisher is allowed.  </w:t>
        <w:br/>
        <w:t xml:space="preserve">The fixed price regime generally applies to the entire universe of books, regardless of the theme, format, or sales channel of both books originally written in one of the languages provided for in the law and translations of foreign books. Although the fixed price established by the publisher is the general rule in the marketing of books in Spain, the Book Law establishes, in its Articles 10 and 11, respectively, the exclusions to the fixed price and the exceptions to the fixed price.  </w:t>
        <w:br/>
        <w:t xml:space="preserve">Among the exclusions to the fixed price, according to Article 10.1.g) of the Book Law, are: "textbooks and complementary teaching materials published mainly for the development and application of the curricula corresponding to Primary Education and Compulsory Secondary Education4." These two stages constitute basic education in Spain, which is compulsory and free in public institutions, and which generally includes school ages between 6 and 16 years.  </w:t>
        <w:br/>
        <w:t xml:space="preserve">Therefore, in Spain, two pricing regimes coexist for textbooks: "fixed price," in the case of early childhood education, baccalaureate, vocational training, and texts for university education (which is established by the publisher and whose maximum discount to the final consumer is 5% on the fixed price established by that publisher), and the so-called "free price," in the case of Primary Education and Compulsory Secondary Education, where the price to the final consumer is set by the retail trade and which is an exception to the general rule on book prices in Spain.  </w:t>
        <w:br/>
        <w:t xml:space="preserve">Precisely regarding the setting of book prices, the now-defunct Competition Defense Tribunal had previously ruled in its "Report on the Fixed Price of Books" of September 1997, in which it recommended moving to a situation of price freedom, replacing the regulation that existed until that moment with a system of prices established by the publisher, on which progressively increasing discounts could be practiced by retailers until their total liberation.  </w:t>
        <w:br/>
        <w:t xml:space="preserve">In this context, and despite successive reforms of sectoral legislation, the Book Law of 2007 in its Article 9.3 maintains that "the sale price to the public may range between 95% and 100% of the fixed price," introducing, however, an exemption for textbooks of compulsory education. This exemption is based on the explanatory memorandum of the aforementioned law, which indicated that the experience gained advised "the change from that singular system of free discount to a system of free price, which is both favorable for the citizen, by promoting the ability of families to save who benefit from the liberalization of prices, and does not harm the retail bookseller since, ultimately, it enables the protection of the existing network of bookstores, safeguarding the maintenance of a diversified cultural offer" (emphasis added).  </w:t>
        <w:br/>
        <w:t xml:space="preserve">Regarding advertising, the Book Law in its Article 9.8 states that "commercial establishments engaged in retail sales may not use books as a commercial lure for the sale of products of a different nature." That is, book offer campaigns must meet the same requirements as any other product promotion campaign plus one additional requirement that books are not used as a commercial lure for the sale of different products.  </w:t>
        <w:br/>
        <w:t>On the other hand, non-university textbooks in Spain present a series of very characteristic regulatory specifications, such as the lack of freedom on the part of the publisher, creator, or writer regarding the content they wish to include in the books, as there is very clear and determining regulation in relation to it. However, despite this uniformity of essential content, each of the Autonomous Communities has some freedom to delineate certain subjects to adapt them to the particularities of their region and, on occasions, to the co-official language in that territory, which further limits the freedom of textbook publishers. Another distinguishing characteristic of non-university textbooks is their "selection by each</w:t>
      </w:r>
    </w:p>
    <w:p>
      <w:r>
        <w:rPr>
          <w:b/>
        </w:rPr>
        <w:t>[Pages 7–9]</w:t>
      </w:r>
    </w:p>
    <w:p>
      <w:r>
        <w:t>educational center5”, that is, it is the educational centers that will determine the choice of materials, both textbooks and auxiliary elements, to be used in each cycle or course and in each area or subject. Once the choice is made, the management of the center must publicize the list of books, as the final consumers (the families of the students enrolled in each center) must be able to directly acquire the prescribed books.</w:t>
      </w:r>
    </w:p>
    <w:p>
      <w:r>
        <w:t>IV. CHARACTERIZATION OF THE MARKET</w:t>
      </w:r>
    </w:p>
    <w:p>
      <w:r>
        <w:t>1. Product Market</w:t>
      </w:r>
    </w:p>
    <w:p>
      <w:r>
        <w:t>The reported practices would affect the retail distribution of books. Precedents have differentiated the book distribution markets from those related to publishing rights6. Within the book distribution markets, they have differentiated the markets for selling books to resellers (wholesalers and retailers) and the retail market or direct sale to the final customer (through various channels such as bookstores, bookstore chains, hypermarkets, kiosks, clubs, internet, mail order, installment sales, and telemarketing). Indeed, national precedents7 have considered that within the market for the publishing and marketing of books, non-university textbooks can be regarded as a product market differentiated from other types of books for several reasons derived from specific regulations regarding content and subjects that do not affect other types of books, the structure of the supply distributed among various publishers, which are primarily dedicated to this specific type of product, and the singular fact that the final demand is captive as it has no capacity for choice (they acquire the specific book from the publisher indicated by the educational center attended by the student). Furthermore, precedents have not deemed a further segmentation according to educational stages or courses, as well as by subjects or languages of publication due to the high substitutability on the supply side, to the extent that the main publishers of non-university textbooks usually publish textbooks for all educational stages and within these, in practically all core subjects and courses, and they all also publish in bilingual format and have print runs in the co-official Spanish languages8.</w:t>
      </w:r>
    </w:p>
    <w:p>
      <w:r>
        <w:t xml:space="preserve">5 Article 6.1, 6.2, and 6.3 of Royal Decree 1744/1998, of July 31, on the use and supervision of textbooks and other curricular material corresponding to General Regime teachings.  </w:t>
        <w:br/>
        <w:t xml:space="preserve">6 Comp /M.2978 Lagardere/Natexis/VUP and Comp /M.5838 Bertelsmann/Planeta/Círculo.  </w:t>
        <w:br/>
        <w:t xml:space="preserve">7 Resolution of the Council of May 30, 2019, in file S/DC/0594/16 ANELE.  </w:t>
        <w:br/>
        <w:t>8 From the perspective of substitutability on the demand side, it could be considered that non-university textbooks from different subjects and courses are configured as separate markets, given that they are not substitutes for each other for educational centers, due to their regulated contents.</w:t>
      </w:r>
    </w:p>
    <w:p>
      <w:r>
        <w:t>According to the data collected in the 2019 Report on Domestic Book Trade in Spain by the Federation of Publishers' Guilds of Spain (FGEE)9, non-university textbooks would constitute the highest billing category in the publishing sector with 33.9% of the total billed. Publishers in Spain sell their products to a wide range of wholesalers and retailers, including hypermarkets, bookstore chains, and independent bookstores10. According to the Report "The Book Sector in Spain" from April 2018 prepared by the Reading Observatory, most bookstores (80.4%) do not belong to any chain, a decreasing percentage since 201411. The most common type is the general proximity type (37.6%), very common in small bookstores, followed by specialized (26.5%), general stock (23%), and general with specialization (13%). Almost a quarter of bookstores (22.4%) sell online, accounting for an average of 11% of their sales. This channel is more utilized in larger and specialized bookstores.</w:t>
      </w:r>
    </w:p>
    <w:p>
      <w:r>
        <w:t>Regarding the retail distribution of textbooks, demand is fundamentally established in educational centers, as they are the ones that determine which books are prescribed in each educational course. Thus, the purchases made by the families of the students represent a captive demand, which only has room to benefit from intrabrand competition when acquiring non-university textbooks, unless they are subject to the fixed price regulation.</w:t>
      </w:r>
    </w:p>
    <w:p>
      <w:r>
        <w:t>As for the supply of retail distribution, in the case of textbooks, the sales channels are not used exactly in the same way as for other types of book categories. Firstly, educational centers are more important as a channel, occupying the second place in sales volume (above bookstore chains), and on the other hand, channels such as kiosks, subscriptions, book clubs, and credit sales are of little relevance for primary and secondary books, as can be inferred from the FGEE Report.</w:t>
      </w:r>
    </w:p>
    <w:p>
      <w:r>
        <w:t>In 2019, more than 83% of total sales of non-university textbooks were generated through three channels: bookstores with a share of total billing of 39.9%; companies and institutions, mainly educational centers with a share of 26.4%; and bookstore chains with a share of 16.7%. Other sales channels such as hypermarkets accounted for 8% of billing and the rest of the channels, including e-books, accounted for 9.1%12. In particular, the internet does not reach a share of 2% in the distribution of primary and secondary books13. In this sense, it could be assessed whether there is a narrower market than the market for selling books to the final consumer, which would be the retail distribution market for textbooks, although, for the purposes of the present proceedings, it is not necessary to pronounce on the exact scope of this market.</w:t>
      </w:r>
    </w:p>
    <w:p>
      <w:r>
        <w:t>2. Geographic Market</w:t>
      </w:r>
    </w:p>
    <w:p>
      <w:r>
        <w:t>Both European14 and national precedents15 have considered that the relevant geographic scope of the retail distribution market for books is of national dimension. It should be noted that publishers of non-university textbooks in Spain have a significant degree of vertical integration, as most of the main publishers of textbooks have distributors integrated into their business group and also have national presence, determining their main commercial policies at the national level. This implies that the conditions of supply for the publishing and marketing of textbooks are quite homogeneous throughout Spain. At the retail level, although the behaviors investigated in the present proceedings would develop at the national level, the truth is that, on the supply side, the operators with the greatest weight are bookstores and educational centers, with predominantly local presence although some may also be chains established at the national level. And on the demand side, the families that ultimately acquire the books will choose the retail point of sale based on the geographical area to which it is reasonable to travel to make the purchase.</w:t>
      </w:r>
    </w:p>
    <w:p>
      <w:r>
        <w:t xml:space="preserve">9 https://www.federacioneditores.org/documentos.php  </w:t>
        <w:br/>
        <w:t xml:space="preserve">10 With the latest data from 2018, from the report of the Spanish Confederation of Guilds and Associations of Booksellers (CEGAL), the census of bookstores would have decreased by 1.27% compared to 2017 to 3,556. However, its relative importance as a sales channel by number of establishments is greater than in other European countries.  </w:t>
        <w:br/>
        <w:t xml:space="preserve">11 https://www.cegal.es/documentacion/sector-del-libro/sector-del-libro-en-espana/  </w:t>
        <w:br/>
        <w:t xml:space="preserve">14 Comp /M.2978 Lagardere/Natexis/VUP and Comp /M.5838 Bertelsmann/Planeta/Círculo.  </w:t>
        <w:br/>
        <w:t>15 N-06109 PLANETA / ENCICLOPEDIA CATALANA / EDICIONS 62.</w:t>
      </w:r>
    </w:p>
    <w:p>
      <w:r>
        <w:rPr>
          <w:b/>
        </w:rPr>
        <w:t>[Pages 10–12]</w:t>
      </w:r>
    </w:p>
    <w:p>
      <w:r>
        <w:t>purchase, with internet sales currently having little relevance. In this regard, narrower geographical areas could be analyzed, such as local areas or defining geographical zones with isochrones16. However, it is considered unnecessary to pronounce on the exact delimitation of the geographical scope, as it does not affect the conclusions of the analysis.</w:t>
      </w:r>
    </w:p>
    <w:p>
      <w:r>
        <w:t>V. REPORTED AND INVESTIGATED FACTS</w:t>
      </w:r>
    </w:p>
    <w:p>
      <w:r>
        <w:t>The complainant indicates that the reported shopping center is not complying with the price regulation of books and advertising of discounts established in the Book Law and that this would affect free competition with the rest of the bookstores in Valladolid. Specifically, it refers to the promotion of textbooks carried out in CARREFOUR shopping centers, whereby for every €90 spent on textbooks for Primary and Compulsory Secondary Education purchased at CARREFOUR hypermarkets nationwide, €10 is given for purchases in stationery, school backpacks, computers, and textiles. The complainant provides as evidence to support their complaint two purchase receipts (folios 6 and 7) corresponding to Primary textbooks and also states that "the Law prohibits advertising discounts as recognized by the Supreme Court." In particular, it refers to the Judgment of the Supreme Court 4926/2013 of September 6, 2013, which originated from the complaint of several groups of booksellers and merchants against the discounts and point policies offered by a cooperative to its members17. In the aforementioned Judgment, the following is indicated:</w:t>
      </w:r>
    </w:p>
    <w:p>
      <w:r>
        <w:t>“1. That the action carried out by the defendant through what it calls the 'new cooperative savings formula' in books, consisting of the delivery of 'abacus points', amounting to ten percent of the book price, to be applied in the acquisition of a new book, an action that is carried out simultaneously with the legally established discount of five percent, with the aforementioned points being cumulative, constitutes an act of unfair competition, by violation of regulations - specifically Article 9, paragraphs 3 and 7, of Law 10/2007, of June 22, on reading, books, and libraries.</w:t>
      </w:r>
    </w:p>
    <w:p>
      <w:r>
        <w:t>2.- That the action carried out by the defendant on the occasion of the Sant Jordi festival in two thousand eight, delivering, in addition to the 'abacus points', during the days from the fourteenth to the thirtieth of April, instead of limiting to April twenty-third, World Book Day, constitutes an act of unfair competition, by violation of regulations, specifically Article 11, paragraph 1, letter a), of Law 10/2007, of June 22, on reading, books, and libraries."</w:t>
      </w:r>
    </w:p>
    <w:p>
      <w:r>
        <w:t>And we condemn the defendant, in addition to complying with the previous declarations:</w:t>
      </w:r>
    </w:p>
    <w:p>
      <w:r>
        <w:t>"2.- To cease the illicit activity, immediately ceasing the 'new cooperative savings formula' in books, which involves delivering 'abacus points', with discounts on books exceeding five percent, and to refrain from using it in the future, as well as any other that implies discounts exceeding those legally permitted.</w:t>
      </w:r>
    </w:p>
    <w:p>
      <w:r>
        <w:t>3.- To withdraw from economic circulation the brochures and any other means of advertising, in paper, on its website, or in any medium, in which the violation has been materialized."</w:t>
      </w:r>
    </w:p>
    <w:p>
      <w:r>
        <w:t>In the framework of the preliminary investigation carried out by the Competition Defense Service of Castilla y León, it was revealed that the reported discounts were part of a nationwide campaign launched by the CARREFOUR chain called "Promotion on Textbooks 2019."</w:t>
      </w:r>
    </w:p>
    <w:p>
      <w:r>
        <w:t>On August 9, 2019, two inspectors visited the Carrefour Parquesol Shopping Center in Valladolid where they collected a form for the reservation of textbooks (folios 12 to 14) and the employee of the reservation and delivery department indicated that reservations for textbooks were no longer being accepted and that the textbook reservation campaign and the offer of €10 gift for every €90 of textbooks was automatically extended to all high school textbooks, as it was the computer system designed for the promotion that managed the offer.</w:t>
      </w:r>
    </w:p>
    <w:p>
      <w:r>
        <w:t>VI. LEGAL GROUNDS</w:t>
      </w:r>
    </w:p>
    <w:p>
      <w:r>
        <w:t>FIRST. Competence to resolve, object of the resolution, and proposal of the DC</w:t>
      </w:r>
    </w:p>
    <w:p>
      <w:r>
        <w:t>According to Article 5.1.c) of Law 3/2013, of June 4, creating the National Commission of Markets and Competition (LCNMC), the CNMC is responsible for applying the provisions of the LDC regarding behaviors that imply preventing, restricting, and distorting competition. Article 20.2 of the same law assigns the Council the function of resolving the sanctioning procedures provided for in the LDC. Likewise, Article 14.1, letter a), of the Organic Statute of the CNMC, approved by Royal Decree 657/2013, of August 30, establishes that the Competition Chamber will hear matters related to the application of the LDC in accordance with the provisions of Article 5 of the LCNMC.</w:t>
      </w:r>
    </w:p>
    <w:p>
      <w:r>
        <w:t>Consequently, the competence to resolve this procedure corresponds to the Competition Chamber of the CNMC Council, which must assess in this resolution whether there are indications of infringement of Article 3 of the LDC or if, as proposed by the DC in its proposal, the non-initiation of the sanctioning procedure and the filing of the proceedings should proceed, in accordance with Article 49.3 of the LDC, as it considers that, in relation to the reported facts, there are no indications of infringement of the LDC. Likewise, the DC, in accordance with Article 27.1 of the RDC, transferred the complaint, the actions taken, and the proposal for filing.</w:t>
      </w:r>
    </w:p>
    <w:p>
      <w:r>
        <w:t>SECOND. Assessment of the Competition Chamber</w:t>
      </w:r>
    </w:p>
    <w:p>
      <w:r>
        <w:t>The purpose of this resolution is to determine whether the information contained in the file allows for the deduction of the existence of rational indications of practices contrary to Article 3 of the LDC.</w:t>
      </w:r>
    </w:p>
    <w:p>
      <w:r>
        <w:t>The complainant did not indicate possible infringements of Article 1 or 2 of the LDC, but rather reported alleged infringements of the Book Law that would affect free competition and led the DC to analyze whether such practices fit within Article 3 of the LDC, which prohibits acts of unfair competition that, by distorting free competition, affect the public interest.</w:t>
      </w:r>
    </w:p>
    <w:p>
      <w:r>
        <w:t>For Article 3 of the LDC to be applicable, we must be faced with behaviors typified in Law 3/1991, of January 10, on Unfair Competition (LCD) that also affect the public interest by distorting free competition. That is, to apply Article 3 LDC, it is necessary for the following three elements to be present in the proven conduct cumulatively: i) an unfair illicit typified in the LCD, ii) that can produce a significant distortion of free competition, and iii) that affects the public interest.</w:t>
      </w:r>
    </w:p>
    <w:p>
      <w:r>
        <w:t>Therefore, this Chamber must first assess whether the conduct carried out by CARREFOUR in establishing the aforementioned promotion can be subsumed under any of the types of the LCD.</w:t>
      </w:r>
    </w:p>
    <w:p>
      <w:r>
        <w:t>In this case, it would be a matter of considering whether the practice is unfair by constituting an infringement of the laws as stated in Article 15 of the LCD "it is considered unfair to take advantage in the market of a competitive advantage acquired through the infringement of the laws."</w:t>
      </w:r>
    </w:p>
    <w:p>
      <w:r>
        <w:t>As detailed previously, textbooks for Primary and Compulsory Secondary Education, as well as complementary teaching materials published mainly for the development and application of the curricula of these educational stages, are among the exclusions to the fixed price in the Book Law.</w:t>
      </w:r>
    </w:p>
    <w:p>
      <w:r>
        <w:t>Therefore, textbooks and complementary materials for Primary and Compulsory Secondary Education are not subject to the fixed price regime and maximum discounts of 5%. This is not the case for high school textbooks, which fall within the framework of post-compulsory Secondary Education.</w:t>
      </w:r>
    </w:p>
    <w:p>
      <w:r>
        <w:rPr>
          <w:b/>
        </w:rPr>
        <w:t>[Pages 13–15]</w:t>
      </w:r>
    </w:p>
    <w:p>
      <w:r>
        <w:t>Both in the documentation provided by CARREFOUR (pages 41 to 44), as well as in the Terms of the Promotion on Textbooks published on the CARREFOUR website (both in the terms of the campaigns of the years 201918 and 202019, as well as in the current one of 202120, which maintains the same conditions), and in the form for the reservation of books collected by the inspectors of the Competition Defense Service of Castilla y León at the shopping center itself (pages 12 to 14), it is explicitly stated that the promotion is applicable exclusively to textbooks for Primary and Compulsory Secondary Education (which are excluded from the fixed price regime established by the Book Law).</w:t>
      </w:r>
    </w:p>
    <w:p>
      <w:r>
        <w:t>Regarding the purchase receipts provided by the complainant as proof of non-compliance with the regulation (pages 6 and 7), all refer to Primary books, which are therefore excluded from the fixed price regime.</w:t>
      </w:r>
    </w:p>
    <w:p>
      <w:r>
        <w:t>In light of the information that CARREFOUR provided to the DC (pages 109 to 112), the assortment of textbooks is recorded in the computer system by segmenting the references into subfamilies (Preschool, Primary, Secondary, Baccalaureate, and complementary material) and the computer system is parameterized so that the promotion applies only to the subfamilies of Primary, Secondary, and complementary material. According to CARREFOUR, the subfamily of complementary material includes stationery and language materials and states that there is no benefit from this offer on books that are not used in the school levels of primary and secondary education.</w:t>
      </w:r>
    </w:p>
    <w:p>
      <w:r>
        <w:t>Furthermore, CARREFOUR declares that the campaigns were communicated to employees through training courses and through internal channels (page 32). It also indicates that the campaign has been carried out for three years: in 2018 the offer was €10 of stationery purchases for every €70 of textbook purchases, and in 2019 and 2020 the campaign was the same, for every €90 of textbook purchases made at CARREFOUR hypermarkets, €10 for stationery purchases (pages 28-29). Regarding communication to the stores, CARREFOUR provides a screenshot dated June 16, 2020, capturing the transmission through its internal portal of the content of the brochure for the promotions of the first half of July 2020, which includes the content of the campaign, in the same terms as it is announced to the public, specifying that it is applicable to textbooks for primary and compulsory secondary education (pages 113 to 116).</w:t>
      </w:r>
    </w:p>
    <w:p>
      <w:r>
        <w:t>In this context, therefore, neither the evidence provided by the complainant nor the information provided by CARREFOUR indicates that the discount campaign was applied beyond the exclusions to the fixed price established by law, that is, applied to products that were not textbooks and complementary teaching materials published primarily for the development and application of the curricula corresponding to Primary Education and Compulsory Secondary Education.</w:t>
      </w:r>
    </w:p>
    <w:p>
      <w:r>
        <w:t>On the other hand, in accordance with what was indicated by the DC, it cannot be considered proven that CARREFOUR violated the regulations based solely on the statement of an employee who attended the public in one of the Carrefour Shopping Centers regarding the operation of the company's computer system, when, moreover, this statement has not been corroborated by any additional evidence. Rather, all campaigns and materials used include discounts that are consistent with the regulations.</w:t>
      </w:r>
    </w:p>
    <w:p>
      <w:r>
        <w:t>In fact, the complainant himself, to support his complaint, provides purchase receipts that only include textbooks for primary education and refers to a ruling from the Supreme Court that does not refer to the specific case of textbooks, which are expressly excluded from the fixed price regime. Nor does it follow from that ruling, in any case, the generic prohibition of advertising discounts on books, but rather the ruling condemns the defendant to withdraw all types of advertising in which the violation of the Book Law is materialized.</w:t>
      </w:r>
    </w:p>
    <w:p>
      <w:r>
        <w:t>On the other hand, this Chamber considers that the Book Law would not be infringed regarding the use of the book as a commercial lure for the sale of products of another nature nor in terms of advertising prices and discounts.</w:t>
      </w:r>
    </w:p>
    <w:p>
      <w:r>
        <w:t>Regarding the use of the book as a commercial lure that could arise from the content of the campaign "For every €90 spent on textbooks for Primary and Compulsory Secondary Education, we give you €10 for your next purchase in stationery, school backpacks, computers, and textiles," there is repeated jurisprudence that considers this type of commercial practice lawful, the offer of vouchers or discounts redeemable in the purchase of other products alongside the purchase of books. In particular, the Judgment 27/2009, of February 6, 2009, of the Provincial Court of Madrid, regarding the lawsuit of various associations of booksellers against a CARREFOUR campaign for the sale of textbooks in which a 25% discount was offered in Gift Voucher for the purchase of other products and the gift of a Larousse Guide. Well, the aforementioned ruling states: "The textbook is not being used as a commercial lure for the sale of products of a different nature, because the 'commercial lure' implies something accessory by nature but that serves to promote the sale of a main product, and in the case at hand, as the plaintiff itself stated in its complaint, the school guide and the gift voucher were accessory or additional benefits, lures, regarding the main benefit, the textbooks. (...) Ultimately, it is the gift voucher or the Larousse school guide that constitutes a lure to sell textbooks, not the textbooks that constitute a lure to sell other products, not specified in the case of those that can be purchased with the gift voucher."</w:t>
      </w:r>
    </w:p>
    <w:p>
      <w:r>
        <w:t>In the same vein, we can cite Judgment 95/2020, of February 21, 2020, of the Provincial Court of Madrid in which, although it is determined that the discount campaign offered constituted an act of unfair competition in relation to its use as a commercial lure, it was pointed out: "In the case at hand, the AMAZON promotion consisting of giving a five-euro gift voucher for purchases of books over 20 euros cannot affect that prohibition, as what is promoted with the gift voucher is the sale of books, not other products, so it is not the case contemplated in the regulation. Furthermore, the fact that the gift voucher can be redeemed for the purchase of other products does not imply using books as a commercial lure. With the voucher, the sale of other products is not being promoted nor are those sales of other products associated with books as a lure for sales."</w:t>
      </w:r>
    </w:p>
    <w:p>
      <w:r>
        <w:t>Indeed, in the case of the reported campaign, the additional benefit from the purchase of textbooks can be redeemed for purchases of stationery, school backpacks, computers, and textiles, all of which are categories of accessory products related to school activity, so it cannot be inferred that textbooks are being used as a commercial lure.</w:t>
      </w:r>
    </w:p>
    <w:p>
      <w:r>
        <w:t>Finally, regarding the complainant's claim to consider the advertising of discounts as prohibited by law, it is necessary to emphasize that the ruling of the Supreme Court to which it refers does not recognize such a prohibition, but rather condemns the defendant to cease advertising illegal discounts. And one of the keys to understanding what differentiates the conduct sanctioned by the Supreme Court regarding the abacus points and the conduct archived by the Provincial Court regarding the "CARREFOUR gift voucher" is the category of product on which the additional benefit is generated. Thus, while the abacus points represented an additional reduction in the price of books and therefore constituted a violation of the fixed price regime of books by implying a discount greater than that permitted on them, in the case of the CARREFOUR voucher, as in the case of the campaign reported in this file, it is a benefit to be redeemed with the purchase of other types of goods, excluding books. In fact, the terms of the promotion expressly exclude the possibility of using the gift voucher on textbooks, reading books, and dictionaries.</w:t>
      </w:r>
    </w:p>
    <w:p>
      <w:r>
        <w:rPr>
          <w:b/>
        </w:rPr>
        <w:t>[Pages 16–17]</w:t>
      </w:r>
    </w:p>
    <w:p>
      <w:r>
        <w:t>National and regional precedents have analyzed similar practices, archiving the complaints for not finding indications of infringement21. In particular, the Resolution of March 23, 1992, of file 307/91 ALCAMPO REPÓN, in which ALCAMPO was reported for offering discounts on the fixed selling price of the aforementioned books, with a campaign that offered a 15% discount on the price set by the publisher and whose value was delivered to the consumer in school supplies, states: “What is relevant for the purposes of this file is that it is not a discount since this operation does not provoke a pure saving of money, but rather, on the occasion of the celebration of a contract, and without that monetary saving, a complementary advantage or benefit of a purely additional nature is obtained. It is a simple commercial promotion operation that in no way fits into a case of discount.”</w:t>
      </w:r>
    </w:p>
    <w:p>
      <w:r>
        <w:t>Therefore, the advertising of a discount campaign is not illegal in itself, but only if the discounts offered do not comply with the regulations in force. In this case, to the extent that the CARREFOUR campaign, as formulated in its bases, would not violate the provisions of the Book Law, neither regarding prices nor in using books as a commercial lure, it would also not be illegal to publicize it.</w:t>
      </w:r>
    </w:p>
    <w:p>
      <w:r>
        <w:t>Given these circumstances, in the analyzed case, and in light of the information provided, as well as the information to which this Chamber has had access, it is not established that the applicable regulations regarding the prices of textbooks are being violated (neither concerning discounts nor in the use of the book as a commercial lure for the sale of products of another nature) nor in the advertising of the same that are governed by the Book Law, and therefore, that there is an infringement of a norm that could lead to an act of unfair competition.</w:t>
      </w:r>
    </w:p>
    <w:p>
      <w:r>
        <w:t>On the contrary, the existence of discount campaigns permitted by law favors the interests of citizens and generates competition at the distribution level, which can generate various advantages for the general interest.</w:t>
      </w:r>
    </w:p>
    <w:p>
      <w:r>
        <w:t>In this context, and to the extent that one of the requirements for the application of Article 3 of the LDC is not met, it is not appropriate to continue with the analysis of the other two requirements as they must be met cumulatively.</w:t>
      </w:r>
    </w:p>
    <w:p>
      <w:r>
        <w:t>As a consequence of all the above, this Chamber considers that there are no indications that there may be an infringement of the applicable regulations and therefore the analyzed behaviors would not fall within the cases of infringement of the aforementioned LDC, specifically within the scope of Article 3 of the LDC analyzed.</w:t>
      </w:r>
    </w:p>
    <w:p>
      <w:r>
        <w:t>Therefore, in virtue of the cited precepts and the other generally applicable ones, the Competition Chamber,</w:t>
      </w:r>
    </w:p>
    <w:p>
      <w:r>
        <w:t>VII. RESOLVES</w:t>
      </w:r>
    </w:p>
    <w:p>
      <w:r>
        <w:t>SOLE. Not to initiate sanctioning proceedings and to agree to archive the actions taken as a result of the complaint filed by the GREMIO DE LIBREROS DE VALLADOLID against the CENTRO COMERCIAL CARREFOUR PARQUESOL of Valladolid for considering that in this file there are no indications of infringement of Article 3 of the LDC.</w:t>
      </w:r>
    </w:p>
    <w:p>
      <w:r>
        <w:t>Communicate this resolution to the DC and notify the interested parties, informing them that there is no appeal against it in the administrative route, being able to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