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https://www.cnmc.es/expedientes/s004908</w:t>
      </w:r>
    </w:p>
    <w:p>
      <w:r>
        <w:t>Pages translated : 5</w:t>
      </w:r>
    </w:p>
    <w:p/>
    <w:p>
      <w:r>
        <w:rPr>
          <w:b/>
        </w:rPr>
        <w:t>[Pages 1–3]</w:t>
      </w:r>
    </w:p>
    <w:p>
      <w:r>
        <w:t xml:space="preserve">RESOLUTION (Exp. S/0049/08, LIDL Supermarkets)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In Madrid, on April 3, 2008  </w:t>
        <w:br/>
        <w:t xml:space="preserve">The Council of the National Competition Commission (the Council), with the composition expressed and with the Rapporteur being Councilor Ms. María Jesús González López, has issued the following Resolution in the file S/0049/08 LIDL Supermarkets, which arises from the complaint filed on February 12, 2008, by Mr. B.G.G., on behalf of the company “EUSTAQUIO GARCÍA, S.L.” against “LIDL Supermercados, S.A.U” (hereinafter LIDL) for alleged conduct contrary to the Competition Defense Act, specifically regarding the sale of meat at a loss in LIDL establishments where the complainant has points of sale for fresh cut meat and charcuterie, with the aim of expelling it, which in their opinion would constitute an act of unfair competition that would violate Article 3 of Law 15/2007, of July 3, on Competition Defense (hereinafter LDC).  </w:t>
        <w:br/>
        <w:t xml:space="preserve">BACKGROUND  </w:t>
        <w:br/>
        <w:t xml:space="preserve">1 On February 12, 2008, a complaint was received at the Investigation Directorate of the National Competition Commission (hereinafter the DI) from the company EUSTAQUIO GARCÍA, S.L. against LIDL for alleged obstructive conduct (judicial harassment, harassment of personnel, obstacles to customer access, etc.) regarding the activity carried out by the company EUSTAQUIO GARCÍA, S.L. in 69 LIDL stores, with the aim of expelling it from the same, as well as the sale at a loss of packaged meat products in September 2007.  </w:t>
        <w:br/>
        <w:t xml:space="preserve">1 / 5  </w:t>
        <w:br/>
        <w:t xml:space="preserve">2 On February 13, 2008, the DI requested the complainant to rectify the complaint, specifically to delineate the reported facts and the points of sale where they occurred. In the response dated February 22, which includes 31 annexes, the complainant considers that the reported loss-leading sales behavior extends to at least the 69 establishments where the complainant has points of sale.  </w:t>
        <w:br/>
        <w:t xml:space="preserve">3 The parties in the conflict are:  </w:t>
        <w:br/>
        <w:t xml:space="preserve">EUSTAQUIO GARCÍA, S.L., a company dedicated to the production, distribution, and sale of meat products and charcuterie at the national level.  </w:t>
        <w:br/>
        <w:t xml:space="preserve">LIDL Supermercados, S.A.U, an international supermarket chain.  </w:t>
        <w:br/>
        <w:t xml:space="preserve">4 On March 10, 2008, the Council received the proposal from the Investigation Directorate not to initiate sanctioning proceedings and to file the actions carried out as a consequence of the complaint from EUSTAQUIO GARCÍA, S.L., considering that there are no indications of infringement of the LDC. The proposal from the DI is based on the following terms:  </w:t>
        <w:br/>
        <w:t xml:space="preserve">“In view of the complaint, the alleged anti-competitive practices would constitute a violation of Article 3 of the LDC, which prohibits acts of unfair competition that distort free competition and affect the public interest.  </w:t>
        <w:br/>
        <w:t xml:space="preserve">The above must be analyzed in light of the repeatedly reiterated doctrine of the former TDC (now the Council of the National Competition Commission) according to which, under the new wording of Article 3, the concurrence of two requirements would be necessary: the existence of an act of unfair competition in accordance with Law 3/1999 on Unfair Competition and the impact on public interest.  </w:t>
        <w:br/>
        <w:t xml:space="preserve">Regarding the alleged unfair behavior, the Unfair Competition Law, in its Article 17, considers the sale made below cost, or below the purchase price when it is likely to mislead consumers about the price levels of other products or services of the same establishment, has the effect of discrediting the image of a product or an external establishment, or is part of a strategy aimed at eliminating a competitor or group of competitors from the market.  </w:t>
        <w:br/>
        <w:t xml:space="preserve">Now, even assuming that the accused was selling meat products at a loss and was subject to obstructive conduct, breaching the collaboration agreement, it does not seem that in the present case the second requirement regarding the impact on public interest is met.  </w:t>
        <w:br/>
        <w:t xml:space="preserve">The requirement for a significant distortion of free competition is based on the fact that Article 3 of the LDC is not intended to suppress any type of disloyalty, nor to directly protect the interests of the harmed competitors, as this is the purpose of the Unfair Competition Law.  </w:t>
        <w:br/>
        <w:t xml:space="preserve">The LDC is a public law norm that pursues a public interest objective, which is that unfair conduct does not distort the competitive functioning of the market. It is therefore crucial to subsume an unfair conduct under this Article 3 that, regardless of the private interests that may have been harmed, it can be demonstrated that it has also significantly distorted free competition, thus affecting the public interest.  </w:t>
        <w:br/>
        <w:t xml:space="preserve">In the present case, the complainant refers to alleged anti-competitive conduct in 69 supermarkets throughout the national territory. Considering that the state network of supermarkets, according to data collected by ALIMARKET in its latest yearbook on the distribution sector, consists of 19,004 establishments, it cannot be considered that the reported facts affect the public interest.  </w:t>
        <w:br/>
        <w:t xml:space="preserve">Finally, in light of the above, in the event that the complainant considers their economic rights unlawfully harmed, they may always seek to defend their interests in the corresponding Jurisdiction.”  </w:t>
        <w:br/>
        <w:t xml:space="preserve">1  </w:t>
        <w:br/>
        <w:t xml:space="preserve">ALIMARKET number 204. March 2007.  </w:t>
        <w:br/>
        <w:t>3 / 5</w:t>
      </w:r>
    </w:p>
    <w:p>
      <w:r>
        <w:rPr>
          <w:b/>
        </w:rPr>
        <w:t>[Pages 4–5]</w:t>
      </w:r>
    </w:p>
    <w:p>
      <w:r>
        <w:t xml:space="preserve">5 The Council deliberated and ruled on the matter in its meeting on April 1, 2008.  </w:t>
        <w:br/>
        <w:t xml:space="preserve">6 The parties involved in the file are:  </w:t>
        <w:br/>
        <w:t xml:space="preserve">- EUSTAQUIO GARCÍA, S.L.  </w:t>
        <w:br/>
        <w:t xml:space="preserve">- LIDL Supermercados, S.A.U.  </w:t>
        <w:br/>
        <w:t xml:space="preserve">LEGAL BASIS  </w:t>
        <w:br/>
        <w:t xml:space="preserve">SOLE.- Article 49, paragraph 3 of the Competition Defense Act stipulates that the Council, at the proposal of the Investigation Directorate of the National Competition Commission, may decide not to initiate sanctioning proceedings for the alleged conduct prohibited in articles 1, 2, and 3 of the Act and, consequently, to file the actions carried out by the Investigation Directorate when it considers that there are no indications of infringement of the LDC.  </w:t>
        <w:br/>
        <w:t xml:space="preserve">The Council, having seen the proposal of the Investigation Directorate and analyzed the file, considers that, as concluded by the Investigation Directorate in its proposal, the reported facts do not show indications of infringement of the LDC. The reported conduct, loss-leading sales, which could in this case constitute an infringement of those typified in Article 17 of Law 3/1991, of January 10, on Unfair Competition, does not meet the requirements of impact on public interest as required by Article 3 of the LDC.  </w:t>
        <w:br/>
        <w:t xml:space="preserve">Therefore, the Council agrees with the Investigation Directorate that the complaint does not indicate that there are signs of a distortion of free competition affecting the public interest, as required by Article 3 of the LDC, and it is not appropriate to continue the investigation of the reported conduct by the competition defense authorities.  </w:t>
        <w:br/>
        <w:t>For all the above reasons, having regard to the cited provisions and others of general application, the Council of the National Competition Commission,</w:t>
      </w:r>
    </w:p>
    <w:p>
      <w:r>
        <w:t xml:space="preserve">RESOLVES  </w:t>
        <w:br/>
        <w:t xml:space="preserve">SOLE.- Not to initiate sanctioning proceedings and to file the actions taken by the Investigation Directorate of the National Competition Commission as a result of the complaint filed by Mr. B.G.G., on behalf of the company EUSTAQUIO GARCIA, S.L. against LIDL Supermercados, S.A.U. for considering that there are no indications of infringement of the Competition Defense Act.  </w:t>
        <w:br/>
        <w:t>This Resolution shall be communicated to the Investigation Directorate and notified to the complainant, informing them that it concludes the administrative process,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