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https://www.cnmc.es/expedientes/s004919</w:t>
      </w:r>
    </w:p>
    <w:p>
      <w:r>
        <w:t>Pages translated : 36</w:t>
      </w:r>
    </w:p>
    <w:p/>
    <w:p>
      <w:r>
        <w:rPr>
          <w:b/>
        </w:rPr>
        <w:t>[Pages 1–3]</w:t>
      </w:r>
    </w:p>
    <w:p>
      <w:r>
        <w:t xml:space="preserve">S/0049/19  </w:t>
        <w:br/>
        <w:t>ISDIN</w:t>
      </w:r>
    </w:p>
    <w:p>
      <w:r>
        <w:t xml:space="preserve">RESOLUTION  </w:t>
        <w:br/>
        <w:t xml:space="preserve">ISDIN FILE  </w:t>
        <w:br/>
        <w:t>(S/0049/19)</w:t>
      </w:r>
    </w:p>
    <w:p>
      <w:r>
        <w:t xml:space="preserve">COUNCIL. COMPETITION CHAMBER  </w:t>
        <w:br/>
        <w:t xml:space="preserve">President  </w:t>
        <w:br/>
        <w:t xml:space="preserve">Ms. Cani Fernández Vicién  </w:t>
        <w:br/>
        <w:t xml:space="preserve">Councillors  </w:t>
        <w:br/>
        <w:t xml:space="preserve">Ms. María Pilar Canedo Arrillaga  </w:t>
        <w:br/>
        <w:t xml:space="preserve">Mr. Carlos Aguilar Paredes  </w:t>
        <w:br/>
        <w:t xml:space="preserve">Mr. Josep Maria Salas Prat  </w:t>
        <w:br/>
        <w:t xml:space="preserve">Ms. María Jesús Martín Martínez  </w:t>
        <w:br/>
        <w:t xml:space="preserve">Secretary of the Council  </w:t>
        <w:br/>
        <w:t>Mr. Miguel Bordiu García-Ovies</w:t>
      </w:r>
    </w:p>
    <w:p>
      <w:r>
        <w:t>In Madrid, on November 30, 2022</w:t>
      </w:r>
    </w:p>
    <w:p>
      <w:r>
        <w:t>The Competition Chamber of the National Commission of Markets and Competition (CNMC), with the composition expressed, has issued this resolution within the framework of the sanctioning file initiated by the Directorate of Competition against ISDIN, S.A. (ISDIN) for alleged conduct prohibited by Articles 1 of Law 15/2007, of July 3, on the Defense of Competition (LDC) and 101 of the Treaty on the Functioning of the European Union (TFEU).</w:t>
      </w:r>
    </w:p>
    <w:p>
      <w:r>
        <w:t xml:space="preserve">National Commission of Markets and Competition 1 of 36  </w:t>
        <w:br/>
        <w:t xml:space="preserve">C/ Alcalá, 47 – 28014 Madrid - C/ Bolivia, 56 – 08018 Barcelona  </w:t>
        <w:br/>
        <w:t>www.cnmc.es</w:t>
      </w:r>
    </w:p>
    <w:p>
      <w:r>
        <w:t xml:space="preserve">S/0049/19  </w:t>
        <w:br/>
        <w:t>ISDIN</w:t>
      </w:r>
    </w:p>
    <w:p>
      <w:r>
        <w:t xml:space="preserve">CONTENT  </w:t>
        <w:br/>
        <w:t xml:space="preserve">I. FACTUAL BACKGROUND .......................................................... 3  </w:t>
        <w:br/>
        <w:t xml:space="preserve">II. THE PARTIES ........................................................................... 6  </w:t>
        <w:br/>
        <w:t xml:space="preserve">II.1. CASTILLO GRANDA S.L. (complainant) ................................. 6  </w:t>
        <w:br/>
        <w:t xml:space="preserve">II.2. ISDIN, S.A. (respondent) ......................................................... 6  </w:t>
        <w:br/>
        <w:t xml:space="preserve">III. REGULATORY FRAMEWORK AND AFFECTED MARKET .......... 6  </w:t>
        <w:br/>
        <w:t xml:space="preserve">III.1. Applicable regulations ............................................................ 6  </w:t>
        <w:br/>
        <w:t xml:space="preserve">III.2. Market information ................................................................ 8  </w:t>
        <w:br/>
        <w:t xml:space="preserve">III.2.A. Wholesale distribution of pharmaceutical products ................. 9  </w:t>
        <w:br/>
        <w:t xml:space="preserve">III.2.B. Retail distribution of perfumery and cosmetics .................... 11  </w:t>
        <w:br/>
        <w:t xml:space="preserve">IV. FACTS ..................................................................................... 12  </w:t>
        <w:br/>
        <w:t xml:space="preserve">IV.1. On ISDIN's distribution system and its pricing and discount policy .................................................................................. 13  </w:t>
        <w:br/>
        <w:t xml:space="preserve">IV.2. On price setting by ISDIN .................................................... 14  </w:t>
        <w:br/>
        <w:t xml:space="preserve">V. OPENING of the PROCEDURE for CONVENTIONAL TERMINATION ........................................................................... 17  </w:t>
        <w:br/>
        <w:t xml:space="preserve">VI. COMMITMENTS PRESENTED ................................................ 21  </w:t>
        <w:br/>
        <w:t xml:space="preserve">VI.1. First commitment: “Proactive communication to all ISDIN distributors” ........................................................................ 21  </w:t>
        <w:br/>
        <w:t xml:space="preserve">VI.2. Second Commitment: “Inclusion of an express reference to the indicative nature of the RRP in all ISDIN delivery notes” 22  </w:t>
        <w:br/>
        <w:t xml:space="preserve">VI.3. Third Commitment: “Inclusion of an early warning system regarding competition within ISDIN's standardized work procedures (“PNT”)” .......................................................... 22  </w:t>
        <w:br/>
        <w:t xml:space="preserve">VI.4. Fourth Commitment: “Training sessions on Competition for the entire ISDIN commercial network” .................................. 23  </w:t>
        <w:br/>
        <w:t xml:space="preserve">VI.5. Fifth Commitment: “Establishment of an objective and transparent system of commercial sales conditions for distributors” .................................................................................. 23  </w:t>
        <w:br/>
        <w:t xml:space="preserve">VI.5.A. Elements and variables of the commercial conditions matrix: .... 23  </w:t>
        <w:br/>
        <w:t xml:space="preserve">VI.6. Sixth Commitment: “Offering conditions to CASTILLOGRANDA” ............................................................................... 25  </w:t>
        <w:br/>
        <w:t xml:space="preserve">VI.7. Seventh Commitment: “Strengthening the confidentiality of the ISDIN Connect tool” ......................................................... 26  </w:t>
        <w:br/>
        <w:t xml:space="preserve">VI.8. Duration of commitments and monitoring ............................ 26  </w:t>
        <w:br/>
        <w:t xml:space="preserve">VII. LEGAL GROUNDS ................................................................. 28  </w:t>
        <w:br/>
        <w:t xml:space="preserve">VII.1. [FIRST] COMPETENCE TO RESOLVE ............................... 28  </w:t>
        <w:br/>
        <w:t xml:space="preserve">VII.2. [SECOND] OBJECT OF THE RESOLUTION ......................... 28  </w:t>
        <w:br/>
        <w:t xml:space="preserve">VII.3. [THIRD] ASSESSMENT OF THE CHAMBER ....................... 29  </w:t>
        <w:br/>
        <w:t xml:space="preserve">VII.3.A. Preliminary considerations .................................................... 29  </w:t>
        <w:br/>
        <w:t xml:space="preserve">VII.3.B. Assessment of the content of the commitments .................... 30  </w:t>
        <w:br/>
        <w:t>VIII. RESOLVES ......................................................................... 35</w:t>
      </w:r>
    </w:p>
    <w:p>
      <w:r>
        <w:t xml:space="preserve">National Commission of Markets and Competition 2 of 36  </w:t>
        <w:br/>
        <w:t xml:space="preserve">C/ Alcalá, 47 – 28014 Madrid - C/ Bolivia, 56 – 08018 Barcelona  </w:t>
        <w:br/>
        <w:t>www.cnmc.es</w:t>
      </w:r>
    </w:p>
    <w:p>
      <w:r>
        <w:t xml:space="preserve">S/0049/19  </w:t>
        <w:br/>
        <w:t>ISDIN</w:t>
      </w:r>
    </w:p>
    <w:p>
      <w:r>
        <w:t xml:space="preserve">I. FACTUAL BACKGROUND  </w:t>
        <w:br/>
        <w:t xml:space="preserve">(1) On September 23, 2019, a complaint was registered with the CNMC submitted by CASTILLO GRANDA, S.L. (CASTILLO GRANDA) against ISDIN, for alleged conduct prohibited by the LDC, consisting of "the setting of minimum resale prices and abuse of dominant position, manifested in the application of inequitable prices, denial of supplies, discrimination, and tying."  </w:t>
        <w:br/>
        <w:t xml:space="preserve">(2) CASTILLO GRANDA provided, in support of its complaint, copies of invoices, emails, price lists, a cease-and-desist request directed to ISDIN (which has no recorded response) sent via burofax, and an audio recording of the telephone conversation held between the representative of CASTILLO GRANDA and, allegedly, an Area Manager of the accused company1.  </w:t>
        <w:br/>
        <w:t xml:space="preserve">(3) Within the framework established in section 2 of Article 49 of the LDC, the Directorate of Competition initiated a reserved inquiry, with the number of actions S/DC/0049/19, in order to preliminarily determine the existence of circumstances justifying the initiation of a sanctioning file.  </w:t>
        <w:br/>
        <w:t xml:space="preserve">(4) On January 14, 2020, a report was requested from the Forensic Acoustics Laboratory of the Scientific Police, in order to carry out the relevant actions to determine the authenticity and integrity of the audio file provided and its correspondence with the original recorded on the recording device2. On February 6, 2020, the aforementioned report prepared by the Forensic Acoustics Section of the General Scientific Police was received, dated February 5, 20203. It concluded by indicating the authenticity and integrity of the file provided by the complainant4.  </w:t>
        <w:br/>
        <w:t xml:space="preserve">(5) In view of the documentation in the file, it was considered that there were reasonable indications of the commission of an infringement of Articles 1 of the LDC and 101 of the Treaty on the Functioning of the European Union (TFEU).  </w:t>
        <w:br/>
        <w:t xml:space="preserve">1 Pages 9-204.  </w:t>
        <w:br/>
        <w:t xml:space="preserve">2 Pages 270-281.  </w:t>
        <w:br/>
        <w:t xml:space="preserve">3 Pages 301-305.  </w:t>
        <w:br/>
        <w:t xml:space="preserve">4 Page 304.  </w:t>
        <w:br/>
        <w:t xml:space="preserve">National Commission of Markets and Competition 3 of 36  </w:t>
        <w:br/>
        <w:t xml:space="preserve">C/ Alcalá, 47 – 28014 Madrid - C/ Bolivia, 56 – 08018 Barcelona  </w:t>
        <w:br/>
        <w:t>www.cnmc.es</w:t>
      </w:r>
    </w:p>
    <w:p>
      <w:r>
        <w:rPr>
          <w:b/>
        </w:rPr>
        <w:t>[Pages 4–6]</w:t>
      </w:r>
    </w:p>
    <w:p>
      <w:r>
        <w:t xml:space="preserve">S/0049/19  </w:t>
        <w:br/>
        <w:t>ISDIN</w:t>
      </w:r>
    </w:p>
    <w:p>
      <w:r>
        <w:t>On October 26, 2020, the Competition Directorate agreed, in accordance with the provisions of section 1 of Article 49 of the LDC, to initiate a sanctioning file against ISDIN for restrictive competition practices prohibited in Article 1 of the LDC and 101 of the TFEU, consisting of resale price maintenance and, in particular, online selling prices of certain skin care products, specifically sunscreen products.</w:t>
      </w:r>
    </w:p>
    <w:p>
      <w:r>
        <w:t>(6) On December 4, 2020, a request for information was made to ISDIN5. It was answered on January 11, 20216.</w:t>
      </w:r>
    </w:p>
    <w:p>
      <w:r>
        <w:t>(7) On March 1, 2021, nineteen requests for information were made to various retail and wholesale distributors in the sector (pharmacies, parapharmacies, and pharmaceutical cooperatives)7. Responses were received between March 9 and 24, 20218.</w:t>
      </w:r>
    </w:p>
    <w:p>
      <w:r>
        <w:t>(8) On May 19, 2021, a request for information was made to the General Council of Official Colleges of Pharmacists9. It was answered on June 2, 202110.</w:t>
      </w:r>
    </w:p>
    <w:p>
      <w:r>
        <w:t xml:space="preserve">(9) On July 13, 2021, new requests for information were made to:  </w:t>
        <w:br/>
        <w:t xml:space="preserve">ISDIN11,  </w:t>
        <w:br/>
        <w:t xml:space="preserve">CASTILLO GRANDA12, and  </w:t>
        <w:br/>
        <w:t xml:space="preserve">another pharmacy13.  </w:t>
        <w:br/>
        <w:t>They were answered between July 26 and 28, 2021, and on August 16, 2021, ISDIN's written allegations were received14.</w:t>
      </w:r>
    </w:p>
    <w:p>
      <w:r>
        <w:t>(10) On October 22, 2021, a document from ISDIN, S.A. was received in which it requested the initiation of the conventional termination procedure.</w:t>
      </w:r>
    </w:p>
    <w:p>
      <w:r>
        <w:t xml:space="preserve">(11) On October 25, 2021, it was agreed, in accordance with the provisions of Article 39.1 of the Competition Defense Regulation, approved by Royal Decree 261/08, of February 22, to initiate the conventional termination procedure with suspension of the deadline for resolution.  </w:t>
        <w:br/>
        <w:t>On November 11, 2021, ISDIN submitted a first proposal of commitments15. It was forwarded to the complainant16. The complainant made allegations on December 30, 202117. He did not oppose the commitments presented.</w:t>
      </w:r>
    </w:p>
    <w:p>
      <w:r>
        <w:t xml:space="preserve">(12) On January 27, 2022, the Competition Directorate considered, pursuant to the provisions of Article 39.3 of the RDC, that the commitments presented by ISDIN on November 11, 2020, did not adequately resolve the identified competition issues.  </w:t>
        <w:br/>
        <w:t>It required ISDIN to present new commitments18.</w:t>
      </w:r>
    </w:p>
    <w:p>
      <w:r>
        <w:t xml:space="preserve">(13) On March 11, 2022, ISDIN submitted a second proposal of commitments19.  </w:t>
        <w:br/>
        <w:t>It was forwarded to CASTILLO GRANDA for allegations, without any communication received from them20.</w:t>
      </w:r>
    </w:p>
    <w:p>
      <w:r>
        <w:t>(14) On April 8, 2022, ISDIN submitted an agreement dated March 31, 2022, signed between it and CASTILLO GRANDA, which specified one of the proposed commitments21.</w:t>
      </w:r>
    </w:p>
    <w:p>
      <w:r>
        <w:t>(15) On August 5, 2022, the Competition Directorate submitted to the Competition Chamber a proposal for conventional termination (Article 50.5 of the LDC)22.</w:t>
      </w:r>
    </w:p>
    <w:p>
      <w:r>
        <w:t>(16) In its meeting on October 5, 2022, the Competition Chamber of the CNMC agreed to send to the European Commission the information provided for in Article 11.4 of Council Regulation (EC) No. 1/2003 of December 16, 2002, regarding the application of the competition rules provided for in Articles 101 and 102 of the Treaty23.</w:t>
      </w:r>
    </w:p>
    <w:p>
      <w:r>
        <w:t>(17) The Competition Chamber deliberated and issued a resolution in its session on November 30, 2022.</w:t>
      </w:r>
    </w:p>
    <w:p>
      <w:r>
        <w:t>II. THE PARTIES</w:t>
      </w:r>
    </w:p>
    <w:p>
      <w:r>
        <w:t xml:space="preserve">II.1. CASTILLO GRANDA S.L. (complainant)  </w:t>
        <w:br/>
        <w:t>(18) It is a microenterprise (pharmacy and parapharmacy) domiciled in Gijón (Asturias) dedicated to the commercial activity of distribution and marketing of various pharmaceutical products, parapharmacy, body care, and health. It markets its products both through a physical store and online.</w:t>
      </w:r>
    </w:p>
    <w:p>
      <w:r>
        <w:t xml:space="preserve">II.2. ISDIN, S.A. (respondent)  </w:t>
        <w:br/>
        <w:t xml:space="preserve">(19) It is a Spanish multinational domiciled in Barcelona and dedicated to the manufacture of products for skin treatment. It is an international laboratory founded in 1975 specializing in dermatology, offering comprehensive and innovative solutions for the healing, prevention, care, and maintenance of skin and the overall health of its clients24.  </w:t>
        <w:br/>
        <w:t>It is present in more than 40 countries. Its headquarters are in Barcelona and it has thirteen subsidiaries worldwide. Its products are marketed in Spain and other countries, both within and outside the European Union, through various distributors, which in Spain are part of a selective distribution network25.</w:t>
      </w:r>
    </w:p>
    <w:p>
      <w:r>
        <w:t>III. REGULATORY FRAMEWORK AND AFFECTED MARKET</w:t>
      </w:r>
    </w:p>
    <w:p>
      <w:r>
        <w:t xml:space="preserve">III.1. Applicable regulations  </w:t>
        <w:br/>
        <w:t xml:space="preserve">(20) ISDIN operates through a selective distribution system, a model of product distribution for which there is no specific regulation.  </w:t>
        <w:br/>
        <w:t xml:space="preserve">(21) In the field of Competition Law, distribution systems under the selective distribution model are defined as26:  </w:t>
        <w:br/>
        <w:t xml:space="preserve">24 As noted by ISDIN in its document dated January 11, 2021 (folio 1736).  </w:t>
        <w:br/>
        <w:t xml:space="preserve">25 As noted by ISDIN in its document dated January 11, 2021 (folio 1737).  </w:t>
        <w:br/>
        <w:t>26 Article 1.1 e) of Commission Regulation (EU) No. 330/2010 of April 20, 2010, regarding the application of Article 101(3) of the Treaty on the Functioning of the European Union.</w:t>
      </w:r>
    </w:p>
    <w:p>
      <w:r>
        <w:rPr>
          <w:b/>
        </w:rPr>
        <w:t>[Pages 7–9]</w:t>
      </w:r>
    </w:p>
    <w:p>
      <w:r>
        <w:t xml:space="preserve">S/0049/19  </w:t>
        <w:br/>
        <w:t xml:space="preserve">ISDIN  </w:t>
        <w:br/>
        <w:t xml:space="preserve">"a distribution system whereby the supplier undertakes to sell the contractual goods or services, directly or indirectly, only to selected distributors based on specific criteria, and the distributors undertake not to sell such goods or services to unauthorized agents in the territory where the supplier has decided to apply this system."  </w:t>
        <w:br/>
        <w:t xml:space="preserve">As they constitute a type of vertical agreements, they are subject to analysis in accordance with Articles 1 of the LDC and 101 of the TFEU27.  </w:t>
        <w:br/>
        <w:t xml:space="preserve">(21) Vertical agreements are also within the scope of Regulation (EU) No. 330/2010 of the Commission, of April 20, 2010, relating to the application of Article 101(3) of the Treaty on the Functioning of the European Union to certain categories of vertical agreements and concerted practices (hereinafter, the REC)28. The Guidelines on vertical restrictions (2010/C 130/01) (hereinafter, the Guidelines) also apply, which establish the principles for evaluating vertical agreements under Article 101 of the Treaty on the Functioning of the European Union.  </w:t>
        <w:br/>
        <w:t xml:space="preserve">Article 2 of the REC establishes the exemption conditions for certain vertical restrictions:  </w:t>
        <w:br/>
        <w:t xml:space="preserve">"1. In accordance with Article 101(3) of the Treaty and without prejudice to the provisions of this Regulation, it is declared that Article 101(1) of the Treaty shall not apply to 'vertical agreements'.  </w:t>
        <w:br/>
        <w:t xml:space="preserve">This exemption shall apply insofar as such agreements contain 'vertical restrictions'.  </w:t>
        <w:br/>
        <w:t xml:space="preserve">[…]".  </w:t>
        <w:br/>
        <w:t xml:space="preserve">Article 3.1 of the REC specifies:  </w:t>
        <w:br/>
        <w:t xml:space="preserve">"The exemption provided for in Article 2 shall apply provided that the supplier's market share does not exceed 30% of the relevant market in which it sells the contractual goods or services and that the buyer's market share does not exceed 30% of the relevant market in which it purchases the contractual goods or services."  </w:t>
        <w:br/>
        <w:t xml:space="preserve">(22) In accordance with paragraph 176 of the Guidelines:  </w:t>
        <w:br/>
        <w:t xml:space="preserve">"Qualitative and quantitative selective distribution may benefit from the Block Exemption Regulation as long as the market share of the supplier and that of the buyer do not exceed 30% each, even when combined with other non-serious vertical restrictions, such as, for example, non-compete clauses or exclusive distribution, provided that active sales by distributors to each other or to end users are not restricted. The Block Exemption Regulation exempts selective distribution regardless of the nature of the product in question and the selection criteria."  </w:t>
        <w:br/>
        <w:t xml:space="preserve">However, Article 4 of the REC lists the particularly serious restrictions that withdraw the benefit of the exemption by stating the following:  </w:t>
        <w:br/>
        <w:t xml:space="preserve">"Article 4. Restrictions that withdraw the benefit of the exemption by categories (particularly serious restrictions)  </w:t>
        <w:br/>
        <w:t xml:space="preserve">The exemption provided for in Article 2 shall not apply to vertical agreements which, directly or indirectly, alone or in combination with other factors under the control of the parties, have as their object:  </w:t>
        <w:br/>
        <w:t xml:space="preserve">a) the restriction of the buyer's ability to determine the selling price, without prejudice to the supplier's ability to impose maximum selling prices or recommend a selling price, provided that these do not amount to a fixed or minimum selling price as a result of pressure or incentives from either party; […]"  </w:t>
        <w:br/>
        <w:t xml:space="preserve">(23) As noted in the Guidelines, Article 4 of the REC contains a list of particularly serious restrictions that lead to the exclusion of the entire vertical agreement from the scope of the REC. The inclusion of such a particularly serious restriction in an agreement gives rise to the presumption that the agreement falls within the scope of Article 101(1) and that it is unlikely that the conditions of Article 101(3) will be met, and therefore, the block exemption does not apply.  </w:t>
        <w:br/>
        <w:t xml:space="preserve">III.2. Market Information  </w:t>
        <w:br/>
        <w:t xml:space="preserve">(24) The practices analyzed in this file would have occurred in the wholesale distribution market of specialties and pharmaceutical products to pharmacies in its parapharmacy product segment; however, the effects would have occurred in the retail market for perfumery and cosmetics in specialized establishments.  </w:t>
        <w:br/>
        <w:t xml:space="preserve">III.2.A. Wholesale distribution of pharmaceutical products  </w:t>
        <w:br/>
        <w:t xml:space="preserve">(25) In the Report of the former Competition Defense Tribunal (TDC) within the framework of the economic concentration file C96/06 COFARES/HEFAME, the wholesale distribution of specialties and pharmaceutical products to pharmacies was considered as the product market29. This would encompass the entire range of pharmaceutical specialties and other parapharmacy products, such as children's products, dietary products, orthopedic products, cosmetics, etc. Subsequent national and EU precedents can be seen along the same lines30.  </w:t>
        <w:br/>
        <w:t xml:space="preserve">(26) Furthermore, in European precedents, the wholesale distribution market of pharmaceutical products has been subdivided into three categories31: i) category of wholesalers, ii) category of customers, and iii) category of products.  </w:t>
        <w:br/>
        <w:t xml:space="preserve">Regarding the categories of wholesalers, two categories have been defined, excluding direct sales, each constituting a separate market32: (i) full-line wholesalers, who offer a wide range of pharmaceutical products, and (ii) short-line wholesalers, who offer only a more restricted range.  </w:t>
        <w:br/>
        <w:t xml:space="preserve">In terms of customer categories, the cited EU precedents have distinguished, based on different delivery and purchasing patterns, between:  </w:t>
        <w:br/>
        <w:t xml:space="preserve">29 In line with the designations included in the current regulations, it should be understood that this designation corresponds to medicines and health products (understanding that it includes the products mentioned in the market analysis, including medicines, effects and accessories, parapharmacy and/or personal care products).  </w:t>
        <w:br/>
        <w:t xml:space="preserve">30 See among the national cases C-0959/18 BIDAFARMA/SOCOFASA, C-0958/18 BIDAFARMA/ZACOFARVA and C-0745/16 CECOFAR/GRUPO FARMANOVA, C-0725/16 HEFAME/COOFAMEL - ACTIVOS - among others; and among the European cases M.2573 A&amp;C/GROSSFARMA, M.7935- MCKESSON DEUTSCHLAND/BELMEDIS/COPHANA/ESPAFARMED/ALPHAR PARTNERS/SOFIADIS, among others (also, in the precedent M 7323- NORDIC CAPITAL/GDH VERWALTUNG it specifies that the Commission considers that full-line wholesalers include hygiene and personal care products, beauty products, etc.).  </w:t>
        <w:br/>
        <w:t xml:space="preserve">31 M. 4301 ALLIANCE BOOTS/CARDINAL HEALTH, M.7494 BROCACEF/MEDIQ NETHERLANDS, or M.7818 MCKESSON/UDG HEALTHCARE (PHARMACEUTICAL WHOLESALE AND ASSOCIATED BUSINESSES).  </w:t>
        <w:br/>
        <w:t>32 M. 4301 ALLIANCE BOOTS/CARDINAL HEALTH, M.7494 BROCACEF/MEDIQ NETHERLANDS, M.7818 MCKESSON/UDG HEALTHCARE (PHARMACEUTICAL WHOLESALE AND ASSOCIATED BUSINESSES), M.1243 ALLIANCE UNICHEM PLC/SAFA GALENICA SA, M.2193 ALLIANCE UNICHEM/INTERPHARM, M. 2573 A&amp;C/GROSSFARMA, M.2432 ANGELINI/PHOENIX/JV, among others.</w:t>
      </w:r>
    </w:p>
    <w:p>
      <w:r>
        <w:rPr>
          <w:b/>
        </w:rPr>
        <w:t>[Pages 10–12]</w:t>
      </w:r>
    </w:p>
    <w:p>
      <w:r>
        <w:t xml:space="preserve">S/0049/19  </w:t>
        <w:br/>
        <w:t xml:space="preserve">ISDIN  </w:t>
        <w:br/>
        <w:t xml:space="preserve">- pharmacies and doctors33 and  </w:t>
        <w:br/>
        <w:t xml:space="preserve">- hospitals.  </w:t>
        <w:br/>
        <w:t xml:space="preserve">(27) Regarding product categories, within those marketed by pharmacies, it is necessary to distinguish between: i) medicines and ii) parapharmaceutical products.  </w:t>
        <w:br/>
        <w:t xml:space="preserve">Within this second group, the category of parapharmaceutical products encompasses a varied range of heterogeneous products with less stringent regulations than those for medicines.  </w:t>
        <w:br/>
        <w:t xml:space="preserve">Among these, a distinction has been made between the so-called (i) effects and accessories (cotton, gauze, bandages, adhesive plasters, dressings, eye patches, absorbents for incontinence, etc.) and (ii) other products for infant nutrition, cosmetics, herbal medicine and phytotherapy, enteral nutrition, dietary products, orthopedic products, health care, etc.34.  </w:t>
        <w:br/>
        <w:t xml:space="preserve">In this second category, that of parapharmaceutical products, the so-called dermocosmetic products can be classified, which are the subject of this file. Dermocosmetics can be considered an intermediate point between a traditional cosmetic and a medicine. It includes a set of products differentiated from mere cosmetics, among which, without intending to provide an exhaustive list, we can mention: skin care (anti-aging, sun protection, etc.), hair care, etc.  </w:t>
        <w:br/>
        <w:t xml:space="preserve">(28) Regarding the geographical market, the cited precedents have established that it is in no case broader than the national market, and may include, depending on the cases, a province, a region, or a bordering territory.  </w:t>
        <w:br/>
        <w:t xml:space="preserve">(29) The practices analyzed in this file would have occurred, therefore, in the wholesale distribution market of specialties and pharmaceutical products and, within this, in the segment of parapharmaceutical products, specifically dermocosmetic products.  </w:t>
        <w:br/>
        <w:t xml:space="preserve">(30) As already explained in the section on "regulatory framework," ISDIN distributes its products in Spain through a selective distribution system, as indicated in its letter dated January 11, 2021, in which it acknowledges that, within the  </w:t>
        <w:br/>
        <w:t xml:space="preserve">33 In the European precedent M.7818 MCKESSON/UDG HEALTHCARE (PHARMACEUTICAL WHOLESALE AND ASSOCIATED BUSINESSES), the concept of prescribing doctors (dispensing doctors) is defined, which are doctors authorized to dispense pharmaceutical products to patients living in areas with few or no pharmacies.  </w:t>
        <w:br/>
        <w:t xml:space="preserve">34 M. 8406 KESKO/ORIOLA/JV, M.2951- A.S. WATSON/KRUIDVAT, among others.  </w:t>
        <w:br/>
        <w:t xml:space="preserve">Comisión Nacional de los Mercados y la Competencia 10 de 36  </w:t>
        <w:br/>
        <w:t xml:space="preserve">C/ Alcalá, 47 – 28014 Madrid - C/ Bolivia, 56 – 08018 Barcelona  </w:t>
        <w:br/>
        <w:t>www.cnmc.es</w:t>
      </w:r>
    </w:p>
    <w:p>
      <w:r>
        <w:t xml:space="preserve">S/0049/19  </w:t>
        <w:br/>
        <w:t xml:space="preserve">ISDIN  </w:t>
        <w:br/>
        <w:t xml:space="preserve">selective distribution system as indicated in its letter dated January 11:  </w:t>
        <w:br/>
        <w:t xml:space="preserve">“ISDIN has opted for a selective distribution system to, among other things: (i) enhance and protect the image of quality and innovation of its products; (ii) promote that consumers receive specialized advice regarding the characteristics and properties of the products; (iii) prevent alterations or modifications in the state, presentation, packaging, or labeling of the products; (iv) ensure proper storage of the products; and (v) ensure that no counterfeit products are sold.”  </w:t>
        <w:br/>
        <w:t xml:space="preserve">Furthermore, ISDIN acknowledges that, within the selective distribution system, the pharmacy channel has a majority weight36.  </w:t>
        <w:br/>
        <w:t xml:space="preserve">On the other hand, ISDIN states in the aforementioned letter of January 11, 2021, that “ISDIN's market share in the dermocosmetic products market is below [0-10%] both in value and volume”37.  </w:t>
        <w:br/>
        <w:t xml:space="preserve">This data corresponds with information published in the press reflecting the data considered by the consulting firm IQVIA, thus it is deemed established that ISDIN has a share of less than 10% in the pharmaceutical products distribution market, parapharmacy segment, and finally, dermocosmetics sub-segment.  </w:t>
        <w:br/>
        <w:t xml:space="preserve">(31) Regarding the narrower segment, by products, referring to sun protection products, ISDIN states:  </w:t>
        <w:br/>
        <w:t xml:space="preserve">“[…] if we focus on the segment of photoprotection products, the best available estimates give ISDIN a total share of [20-30%] in value and [10-20%] in volume, taking into account total sales of these products across all channels (pharmacy, parapharmacy, large surfaces, and digital).”  </w:t>
        <w:br/>
        <w:t xml:space="preserve">III.2.B. Retail distribution of perfumery and cosmetics  </w:t>
        <w:br/>
        <w:t xml:space="preserve">(32) According to national and EU precedents related to the perfumery and cosmetics sector, the following market segmentations can be made38.  </w:t>
        <w:br/>
        <w:t xml:space="preserve">35 Pages 420-421.  </w:t>
        <w:br/>
        <w:t xml:space="preserve">36 Page 419.  </w:t>
        <w:br/>
        <w:t xml:space="preserve">37 Pages 408-418.  </w:t>
        <w:br/>
        <w:t xml:space="preserve">38 Among the national ones, see C-0102/08 NMAS1/MERCAPITAL/BEAUTY BELL, C/0486/12 DIA/SCHLECKER, N-0522 AVIATE/CADYSSA/IBEDROPER and N-07049 IBERDROPER/JUTECO, C/0894/17 DOUGLAS / DAPARGEL - ACQUIRED BUSINESS, C/0849/17 DOUGLAS/ BODYBELL and among the European ones M.186 HENKEL/NOBEL, M.312 SANOFI/YVES SAINT LAURENT, M.1534 PINAULTPRINTEMPS-REDOUTE/GICCI, M.2951 A.S.WATSON/KRUIDVAT, M.3643 SEPHORA/EL CORTE INGLÉS/JV.  </w:t>
        <w:br/>
        <w:t xml:space="preserve">Comisión Nacional de los Mercados y la Competencia 11 de 36  </w:t>
        <w:br/>
        <w:t xml:space="preserve">C/ Alcalá, 47 – 28014 Madrid - C/ Bolivia, 56 – 08018 Barcelona  </w:t>
        <w:br/>
        <w:t>www.cnmc.es</w:t>
      </w:r>
    </w:p>
    <w:p>
      <w:r>
        <w:t xml:space="preserve">S/0049/19  </w:t>
        <w:br/>
        <w:t xml:space="preserve">ISDIN  </w:t>
        <w:br/>
        <w:t xml:space="preserve">(33) Firstly, based on the range of the product sold, a distinction can be made between luxury products and mass consumer products. While both serve a similar function, they are generally not interchangeable. The luxury category includes high-quality, relatively expensive products marketed under a prestigious brand. In contrast, mass consumer products are cheaper and simpler, and supermarkets are an important sales channel for them.  </w:t>
        <w:br/>
        <w:t xml:space="preserve">(34) Secondly, according to the European Commission, both markets could be segmented into categories such as makeup products, treatments, perfumes for men and women, etc.  </w:t>
        <w:br/>
        <w:t xml:space="preserve">(35) Additionally, it is possible to segment the market based on the type of establishment for marketing (specialized, department stores, and supermarkets). Within these distribution channels, pharmacies and parapharmacies are considered specialized establishments.  </w:t>
        <w:br/>
        <w:t xml:space="preserve">(36) From a geographical perspective, national and EU precedents indicate that the retail distribution market for drugstore, hygiene, and perfumery products (DHP) of mass consumption is fundamentally local39. For mass consumption products, the Commission has established that the area of influence of a retail establishment corresponds to a zone equivalent to twenty minutes by car around it, thus the relevant market would have a local dimension40.  </w:t>
        <w:br/>
        <w:t xml:space="preserve">(37) However, it is worth noting that in recent years, the online channel has developed exponentially, leading to what is known as e-commerce41. This, by its very nature, has a geographical scope that can even exceed the national level.  </w:t>
        <w:br/>
        <w:t xml:space="preserve">IV. FACTS  </w:t>
        <w:br/>
        <w:t xml:space="preserve">(38) Below are the facts that the DC considered relevant, based on the information obtained through the complaint letter and its  </w:t>
        <w:br/>
        <w:t xml:space="preserve">39 C/0486/12 DIA/SCHLECKER, M.1870 LVMH/PRADA/FENDI and M.3643 SEPHORA/EL CORTE INGLÉS/JV.  </w:t>
        <w:br/>
        <w:t xml:space="preserve">40 M.3643 SEPHORA/EL CORTE INGLÉS/JV.  </w:t>
        <w:br/>
        <w:t xml:space="preserve">41 Understood in the terms of Law 34/2002, of July 11, on information society services and electronic commerce and Directive 2000/31/EC of the European Parliament and of the Council, of June 8, 2000, concerning certain legal aspects of information society services, in particular electronic commerce in the internal market (Directive on electronic commerce).  </w:t>
        <w:br/>
        <w:t xml:space="preserve">Comisión Nacional de los Mercados y la Competencia 12 de 36  </w:t>
        <w:br/>
        <w:t xml:space="preserve">C/ Alcalá, 47 – 28014 Madrid - C/ Bolivia, 56 – 08018 Barcelona  </w:t>
        <w:br/>
        <w:t>www.cnmc.es</w:t>
      </w:r>
    </w:p>
    <w:p>
      <w:r>
        <w:rPr>
          <w:b/>
        </w:rPr>
        <w:t>[Pages 13–15]</w:t>
      </w:r>
    </w:p>
    <w:p>
      <w:r>
        <w:t xml:space="preserve">S/0049/19  </w:t>
        <w:br/>
        <w:t>ISDIN</w:t>
      </w:r>
    </w:p>
    <w:p>
      <w:r>
        <w:t>attached documentation and in the responses to the information requests made by the instructing body to the complainant, to the company involved, to the General Council of Official Pharmaceutical Colleges, and to a series of retail and wholesale distributors in the sector (pharmacies, parapharmacies, and pharmaceutical cooperatives).</w:t>
      </w:r>
    </w:p>
    <w:p>
      <w:r>
        <w:t xml:space="preserve">IV.1. On ISDIN's distribution system and its pricing and discount policy  </w:t>
        <w:br/>
        <w:t xml:space="preserve">(39) ISDIN distributes its products in Spain through a selective distribution system, as acknowledged in its letter of January 11, 2021.42 It is reproduced below:  </w:t>
        <w:br/>
        <w:t xml:space="preserve">“ISDIN has opted for a selective distribution system to, among other things: (i) enhance and protect the image of quality and innovation of its products; (ii) promote that consumers receive specialized advice regarding the characteristics and properties of the products; (iii) prevent alterations or modifications in the state, presentation, packaging, or labeling of the products; (iv) ensure proper storage of the products; and (v) ensure that no counterfeit products are sold.”  </w:t>
        <w:br/>
        <w:t>The company acknowledges that its products intended for skin care in Spain are predominantly distributed through the pharmacy channel.43</w:t>
      </w:r>
    </w:p>
    <w:p>
      <w:r>
        <w:t xml:space="preserve">(40) ISDIN's pricing policy is based on the existence of a recommended retail price system, suggested by the company itself through the lists sent to its clients, as well as through the “Love Isdin” website.44 This is acknowledged in its letter of January 11, 2021:  </w:t>
        <w:br/>
        <w:t xml:space="preserve">“ISDIN's pricing policy regarding distributors is based on (i) a laboratory selling price list (“PVL”); and (ii) recommended retail prices (“PVPR”). The PVL is an indication of the price at which the product is transferred to the distributor (ISDIN's selling price or list price). The PVL and the PVPR are uniform throughout the national territory.  </w:t>
        <w:br/>
        <w:t xml:space="preserve">[...]  </w:t>
        <w:br/>
        <w:t xml:space="preserve">From this PVL, ISDIN negotiates through its sales representatives with the thousands of distributors it works with the commercial conditions that apply to each one and that determine not only the type and level of applicable discounts but also the promotional investments that ISDIN can make in each of them.  </w:t>
        <w:br/>
        <w:t xml:space="preserve">These commercial conditions are unique to each distributor and depend on a multitude of factors such as historical agreements that had been applied in the past, the volume of purchases, the profile or positioning of the distributor, the results of the individualized negotiation with the sales delegate responsible for the client, etc.”45  </w:t>
        <w:br/>
        <w:t>This information is corroborated by ISDIN's clients.46</w:t>
      </w:r>
    </w:p>
    <w:p>
      <w:r>
        <w:t xml:space="preserve">IV.2. On price setting by ISDIN  </w:t>
        <w:br/>
        <w:t>(41) ISDIN set prices in the terms outlined below and based on the telephone conversation of February 25, 2019, between the legal representative of the complainant (M) and the area manager of the accused company (JA), whose transcript was provided by the complainant.47</w:t>
      </w:r>
    </w:p>
    <w:p>
      <w:r>
        <w:t xml:space="preserve">(42) Firstly, as seen in the conversation, the area manager acts in line with ISDIN's national sales manager.48:  </w:t>
        <w:br/>
        <w:t xml:space="preserve">“Confidential”  </w:t>
        <w:br/>
        <w:t xml:space="preserve">Throughout the conversation, “M” plans a series of issues in order to clarify the commercial situation with its supplier, ISDIN:  </w:t>
        <w:br/>
        <w:t xml:space="preserve">“Confidential.”  </w:t>
        <w:br/>
        <w:t xml:space="preserve">As the conversation progresses, and in response to specific questions about the pharmacy's sales conditions, it is stated:  </w:t>
        <w:br/>
        <w:t>“Confidential.”49</w:t>
      </w:r>
    </w:p>
    <w:p>
      <w:r>
        <w:t xml:space="preserve">(43) The transcribed conversation constitutes evidence since, as indicated in the Report on Audio Recording Analysis prepared by the Forensic Acoustics Section of the General Scientific Police Headquarters, dated February 5, 2020, there have been no alterations in the audio recordings provided as evidence by the complainant.50  </w:t>
        <w:br/>
        <w:t>According to the same, “it can be stated that the file recorded on the aforementioned DVD corresponds to that found on the mobile phone under study.”51 “The hash codes of both files have been extracted. Hash codes are fixed-length alphanumeric series that uniquely represent or identify a much larger amount of digital data. If in any way, the digital files under study are altered after their creation (edits, metadata, etc.), the hash codes are also modified, allowing the incident to be detected.”52</w:t>
      </w:r>
    </w:p>
    <w:p>
      <w:r>
        <w:t>(44) Practices such as the one described have been reported in response to the requests by two other pharmacies.53</w:t>
      </w:r>
    </w:p>
    <w:p>
      <w:r>
        <w:t xml:space="preserve">(45) The first pharmacy claims to have experienced behavior similar to that described, consisting of the obligation to set certain prices and the suspension of the delivery of goods in case of non-compliance with that obligation, as well as the existence of control mechanisms through computer devices54 (as stated in the response provided by the pharmacy):  </w:t>
        <w:br/>
        <w:t>“[MS] was the person responsible for imposing that I had to fit into prices set by the laboratory. Furthermore, he asked me for a series of sales data of products from the laboratory itself and from the competition. I agreed to [JC], ISDIN's IT manager, proceeding with the installation of a computer extractor in my physical pharmacy management program. However, given my refusal to fit into the pricing set by [MS], this person decided that one of his subordinates, (the Key Account named [I]) would not process my direct orders, therefore, would not sell to [the pharmacy] at the end of 2017. In March 2018 at Infarma in Madrid, I negotiated again in person with [MS], but as I did not finish raising the prices, they left me unable to buy throughout 2018. In March 2019 at Infarma in Barcelona and with [MS] being reassigned to other functions, [JM] first and [JS] later allowed me to buy again, overlooking the pricing issue, so I never gave in.”</w:t>
      </w:r>
    </w:p>
    <w:p>
      <w:r>
        <w:t xml:space="preserve">(46) Regarding the price monitoring carried out by ISDIN, the conversation held by ISDIN's Key Account via WhatsApp is transcribed55:  </w:t>
        <w:br/>
        <w:t>“Confidential”</w:t>
      </w:r>
    </w:p>
    <w:p>
      <w:r>
        <w:t>(47) The second pharmacy also recounts the price monitoring and the setting of lower prices in promotions via email, although it does not provide further detail in its response.56</w:t>
      </w:r>
    </w:p>
    <w:p>
      <w:r>
        <w:rPr>
          <w:b/>
        </w:rPr>
        <w:t>[Pages 16–18]</w:t>
      </w:r>
    </w:p>
    <w:p>
      <w:r>
        <w:t xml:space="preserve">S/0049/19  </w:t>
        <w:br/>
        <w:t>ISDIN</w:t>
      </w:r>
    </w:p>
    <w:p>
      <w:r>
        <w:t xml:space="preserve">(48) The obtaining of the highest discounts would have been subject to collaboration with ISDIN in maintaining resale prices, as indicated by the statements of the area manager with M in the aforementioned telephone conversation of February 25, 201957:  </w:t>
        <w:br/>
        <w:t>“Confidential”.</w:t>
      </w:r>
    </w:p>
    <w:p>
      <w:r>
        <w:t xml:space="preserve">(49) In the same vein, the first pharmacy states in its response to the information request58:  </w:t>
        <w:br/>
        <w:t>“Since the change in responsibilities and the opening of the laboratory to sell to [...], the conditions in 2019 were worse than for any other physical pharmacy (even though it could have purchased much more). No matter how much I bought, I could not achieve a better discount than [...]% on sunscreens and [...]% on the rest of the parapharmacy. In 2021, due to the pandemic and its investigation, ISDIN opened up to offering me a discount of [...]% on sunscreens and [...]% on the rest. Physical pharmacies during this time enjoyed a [...]% discount on absolutely all products.”</w:t>
      </w:r>
    </w:p>
    <w:p>
      <w:r>
        <w:t xml:space="preserve">(50) According to the complaint, ISDIN would have modified its commercial conditions in June 2018, requiring, among other things, a minimum resale price, a condition that the complainant refused to comply with, resulting in the cessation of product supply by ISDIN59.  </w:t>
        <w:br/>
        <w:t xml:space="preserve">In subsequent conversations to redirect the commercial relationship (February 2019), ISDIN maintained the aforementioned conditions.  </w:t>
        <w:br/>
        <w:t>The commercial relationship between both parties has not resumed until 2022, through an agreement adopted during the processing of the conventional termination of this file.</w:t>
      </w:r>
    </w:p>
    <w:p>
      <w:r>
        <w:t xml:space="preserve">(51) ISDIN has computer tools that could help facilitate the monitoring of prices applied by its distributors; in the proposal of commitments presented60.  </w:t>
        <w:br/>
        <w:t>In this regard, it indicates that it has the ISDIN Connect tool which “[...] allows each of the connected pharmacies to share with ISDIN their sales data of ISDIN products both in value and in volume, among others”61.</w:t>
      </w:r>
    </w:p>
    <w:p>
      <w:r>
        <w:t xml:space="preserve">S/0049/19  </w:t>
        <w:br/>
        <w:t>ISDIN</w:t>
      </w:r>
    </w:p>
    <w:p>
      <w:r>
        <w:t xml:space="preserve">V. OPENING OF THE PROCEDURE FOR  </w:t>
        <w:br/>
        <w:t>CONVENTIONAL TERMINATION</w:t>
      </w:r>
    </w:p>
    <w:p>
      <w:r>
        <w:t>(52) On October 22, 2021, ISDIN requested the initiation of actions aimed at the conventional termination of the procedure, under the terms provided in Article 52 of the LDC, submitting a first proposal of commitments on November 11, 2021.</w:t>
      </w:r>
    </w:p>
    <w:p>
      <w:r>
        <w:t xml:space="preserve">(53) The requested conventional termination aims to end the file, resolving the identified competition problems, consisting of the setting of resale prices.  </w:t>
        <w:br/>
        <w:t xml:space="preserve">Thus, the presented commitments aim to (i) implement an objective discount system based on criteria known to the recipients that avoids practices linking discounts to adherence to a specific pricing policy (ii) restore CASTILLO GRANDA to its previous commercial conditions and repair the damages caused.  </w:t>
        <w:br/>
        <w:t>To achieve this objective, ISDIN commits to: proactively communicate the indicative nature of the RRP in all ISDIN delivery notes, include an early warning system regarding competition within ISDIN's Standard Operating Procedures (“SOP”), and communication to clients, implement training sessions on competition for the entire ISDIN commercial network, establish an objective and transparent system of commercial sales conditions to distributors, offer the same conditions that CASTILLO GRANDA previously had, and strengthen the impermeability of the ISDIN Connect tool through a "Chinese wall" system.</w:t>
      </w:r>
    </w:p>
    <w:p>
      <w:r>
        <w:t xml:space="preserve">(54) In accordance with Article 1 LDC and 101 TFEU, any agreement, decision or collective recommendation, or concerted or consciously parallel practice, that has the object, produces or may produce the effect of preventing, restricting or distorting competition in all or part of the national market is prohibited, and in particular those that consist of the direct or indirect setting of prices or other commercial or service conditions.  </w:t>
        <w:br/>
        <w:t>Regarding vertical agreements, Article 4 of Regulation EU 330/2010 (REC) – in force at the time the reported events took place, now Article 4 of Regulation EU 2022/720 – concerning restrictions that withdraw the benefit of the exemption by categories (particularly serious restrictions), states:</w:t>
      </w:r>
    </w:p>
    <w:p>
      <w:r>
        <w:t xml:space="preserve">“The exemption provided for in Article 2 shall not apply to vertical agreements which, directly or indirectly, alone or in combination with other factors under the control of the parties, have as their object:  </w:t>
        <w:br/>
        <w:t>a) the restriction of the buyer's ability to determine the sale price, without prejudice to the supplier's ability to impose maximum sale prices or recommend a sale price, provided that these do not amount to a fixed or minimum sale price as a result of pressure or incentives from either party, […]”62.</w:t>
      </w:r>
    </w:p>
    <w:p>
      <w:r>
        <w:t>(55) The possible price setting – maintenance of resale prices (MPR), in the terminology of the Guidelines – as previously noted, according to Article 4 a) of the REC, constitutes a particularly serious infringement (black clause) that withdraws the benefit of the exemption by categories.</w:t>
      </w:r>
    </w:p>
    <w:p>
      <w:r>
        <w:t xml:space="preserve">(56) In this case, a commercial delegate of ISDIN gave instructions to the complainant pharmacy regarding the RRP, making the obtaining of discounts and even the supply of the product itself dependent on adherence to those prices, which, according to the facts established in section 5.2, was suspended to the complainant as a consequence of selling below the recommended price.  </w:t>
        <w:br/>
        <w:t xml:space="preserve">Similar practices were also reported, as already mentioned, by two other pharmacies.  </w:t>
        <w:br/>
        <w:t xml:space="preserve">As indicated in the Guidelines, MPR can be achieved using indirect means, among others, by setting the maximum level of discount that the distributor can grant based on a certain established price level or subordinating the granting of discounts to compliance with a certain price level63. Likewise, threats, intimidation, warnings, delays or suspension of deliveries or termination of contracts in relation to compliance with a certain price level are considered indirect means to achieve MPR.  </w:t>
        <w:br/>
        <w:t>According to the Guidelines, direct or indirect means of price setting are more effective if combined with measures aimed at identifying distributors who lower prices, such as implementing a price control system.</w:t>
      </w:r>
    </w:p>
    <w:p>
      <w:r>
        <w:t xml:space="preserve">62 In this file, neither the existence of recommended prices nor the use of the selective distribution system for the distribution of dermocosmetic products has been questioned by the complainant, that is, the use of “a distribution system whereby the supplier undertakes to sell the contractual goods or services, directly or indirectly, only to selected distributors based on specific criteria, and the distributors undertake not to sell such goods or services to unauthorized agents in the territory where the supplier has decided to apply this system.” In any case, these restrictions would be covered by the REC as the 30% threshold is not exceeded.  </w:t>
        <w:br/>
        <w:t>63 Guidelines, paragraph 48.</w:t>
      </w:r>
    </w:p>
    <w:p>
      <w:r>
        <w:rPr>
          <w:b/>
        </w:rPr>
        <w:t>[Pages 19–21]</w:t>
      </w:r>
    </w:p>
    <w:p>
      <w:r>
        <w:t xml:space="preserve">S/0049/19  </w:t>
        <w:br/>
        <w:t>ISDIN</w:t>
      </w:r>
    </w:p>
    <w:p>
      <w:r>
        <w:t>(57) The DC notes that ISDIN has an opaque system for applying commercial conditions or discounts, which is neither objective nor known by its recipients, depends on numerous factors, and is based on individual negotiation and, ultimately, on the judgment of ISDIN's commercial department, as has been evidenced, which, in practice, facilitates the linkage of discounts to the adherence to a specific pricing policy. Furthermore, the use of computer tools and systems such as “ISDIN Connect,” which collects data on sales made by retail distributors, in the terms already described, enables ISDIN to monitor the RRP applied by distributors and thus constitutes an assisting element in a pricing policy.</w:t>
      </w:r>
    </w:p>
    <w:p>
      <w:r>
        <w:t>(58) In light of the above, the DC considers that the resale price setting by ISDIN to its retail distributors, in the terms described, could be contrary to Articles 1 of the LDC and 101 of the TFEU, without the possibility of exemption under the application of sections 1.3 LDC and 101.3 of the TFEU.</w:t>
      </w:r>
    </w:p>
    <w:p>
      <w:r>
        <w:t>(59) Following the provisions of the CNC Communication on conventional termination (hereinafter, the Communication) and for the purpose of considering the relevance of using this route for the termination of the procedure, the formal aspects or procedural issues must first be examined, followed by the substantive or fundamental issues.</w:t>
      </w:r>
    </w:p>
    <w:p>
      <w:r>
        <w:t>(60) Regarding the procedural aspects, (i) the applicant contacted the Competition Directorate to explore the possibility of the conventional termination of the sanctioning file. (ii) the request was made before the notification of the Statement of Facts and (iii) it contained the general lines of the commitments that the alleged infringer would be willing to present, as well as a justification of why those commitments were considered adequate and sufficient to enable the conventional termination of the sanctioning file.</w:t>
      </w:r>
    </w:p>
    <w:p>
      <w:r>
        <w:t>(61) As for the substantive aspects, it should be noted that (i) this is a conduct that does not exhaust itself, thus satisfying one of the requirements indicated in the Communication and (ii) it cannot be considered that the conduct has affected a significant part of the market, as will be seen later, nor that it has had irreversible effects and (iii) the alleged infringer (ISDIN) has not been previously declared by the CNMC or by any other competition authority responsible for a practice prohibited by similar conduct.</w:t>
      </w:r>
    </w:p>
    <w:p>
      <w:r>
        <w:t>(62) Although the conduct had effects on the complainant, these cannot be considered irreversible; the complainant continued to purchase ISDIN products in the market and a specific commitment has been presented on this matter, as will be seen later, which has resulted in compensation to the complainant for the damage caused and the adoption of an agreement between both parties.</w:t>
      </w:r>
    </w:p>
    <w:p>
      <w:r>
        <w:t>(63) Additionally, the information gathered throughout the investigation has revealed that the actual impact of these restrictions would not have been significant in the market. For this reason, the Competition Directorate considers that the analyzed conduct did not affect a substantial part of the market nor has it had irreversible effects on competition over a significant period of time. In this regard, it should be noted that there is strong intrabrand competition, an increase in the weight of the online channel, and that ISDIN does not restrict its distributors' use of the internet (own or third-party websites).</w:t>
      </w:r>
    </w:p>
    <w:p>
      <w:r>
        <w:t>(64) Furthermore, in the information requests made - all third parties consulted, except for two - confirm that ISDIN does not generally limit the freedom of its distributors when establishing their resale pricing policy. In this regard, the General Council of Official Pharmaceutical Colleges has stated that “it can confirm that it neither had knowledge nor has received any complaints related to any practice in which ISDIN may have set the selling prices of any of its products in the online channel.”64</w:t>
      </w:r>
    </w:p>
    <w:p>
      <w:r>
        <w:t>(65) Having established compliance with the formal and material requirements identified in the aforementioned Communication, it should be taken into consideration that the request for a conventional termination allows for a saving of procedural steps, in order to enable a rapid implementation of the remedies that put an end to the detected competition restriction situation, since the Statement of Facts has not yet been issued.</w:t>
      </w:r>
    </w:p>
    <w:p>
      <w:r>
        <w:t>(66) Particularly relevant is the fact that the commitments presented have a broader scope than mere compensation for the affected individual or a hypothetical sanction for the identified conduct, as they contribute to a better functioning of the market as a whole, with the implementation of a discount model based on objective and transparent criteria for those affected, which did not exist prior to the instruction of this procedure.</w:t>
      </w:r>
    </w:p>
    <w:p>
      <w:r>
        <w:t>(67) The Competition Directorate therefore proposes the conventional termination of the present procedure, considering that the commitments can clearly and unequivocally resolve the identified competition problems and ensure that they do not recur in the future regarding other ISDIN retail distributors. It also considers that these commitments can be implemented quickly and effectively and that the monitoring of compliance and effectiveness of the same is verifiable in a viable and effective manner.</w:t>
      </w:r>
    </w:p>
    <w:p>
      <w:r>
        <w:t>VI. COMMITMENTS PRESENTED</w:t>
      </w:r>
    </w:p>
    <w:p>
      <w:r>
        <w:t>(68) Below are the definitive commitments proposed by ISDIN.</w:t>
      </w:r>
    </w:p>
    <w:p>
      <w:r>
        <w:t>VI.1. First commitment: “Proactive communication to all ISDIN distributors”</w:t>
      </w:r>
    </w:p>
    <w:p>
      <w:r>
        <w:t>(69) This commitment consists of the widespread sending of a communication by ISDIN to all its distributors in Spain in which it will be expressly reiterated that the recommended retail price (“RRP”) relating to its products does not imply, under any circumstances, a setting of the minimum resale price, with distributors having the authority to apply discounts on the RRP as they deem appropriate. It will also be reiterated that such freedom encompasses both the physical channel and the online channel.</w:t>
      </w:r>
    </w:p>
    <w:p>
      <w:r>
        <w:t>(70) ISDIN attaches the text of the communication65. It states that it will be sent to the registered pharmacy offices in Love ISDIN66. It will also be sent to other clients (parapharmacy chains, retailers, or etailers69). The sending will be carried out through the internal tool Mailchimp, which will allow obtaining a certificate issued by the tool itself to certify the sending.</w:t>
      </w:r>
    </w:p>
    <w:p>
      <w:r>
        <w:t>65 The text of the communication includes mention of the procedure before the CNMC, - First, it recalls that “every customer or distributor belonging to ISDIN's selective distribution system has full freedom to set their commercial sales conditions, including the retail price, both in offline and online sales of ISDIN products.” It also states that “the RRP lists (recommended retail prices) that ISDIN periodically provides are for informational purposes only” and specifies that “ISDIN does not apply worse supply conditions or lower levels of discount based on a greater or lesser alignment of the retail prices ultimately applied by distributors or pharmacy offices with the RRP provided by ISDIN.”</w:t>
      </w:r>
    </w:p>
    <w:p>
      <w:r>
        <w:t>On the other hand, regarding the new model of commercial discounts, it states that it is based on applying the following concepts: “1. Pharmaceutical recommendation to the consumer. 2. Love ISDIN activities - Sell Out Actions. 3. Sell Out Connectivity. 4. Product assortment. 5. Growth or volume. 6. Visibility.”</w:t>
      </w:r>
    </w:p>
    <w:p>
      <w:r>
        <w:t>66 “Love Isdin” is a platform for consumers, pharmacies, and doctors; a website where pharmacies, once registered, can carry out sales challenges, visibility, training, etc.</w:t>
      </w:r>
    </w:p>
    <w:p>
      <w:r>
        <w:rPr>
          <w:b/>
        </w:rPr>
        <w:t>[Pages 22–24]</w:t>
      </w:r>
    </w:p>
    <w:p>
      <w:r>
        <w:t xml:space="preserve">S/0049/19  </w:t>
        <w:br/>
        <w:t>ISDIN</w:t>
      </w:r>
    </w:p>
    <w:p>
      <w:r>
        <w:t>In parallel to such shipments, ISDIN will instruct the commercial network to, during commercial visits to clients, emphasize the content of the communication.</w:t>
      </w:r>
    </w:p>
    <w:p>
      <w:r>
        <w:t>VI.2. Second Commitment: “Inclusion of an express reference to the indicative nature of the RRP in all ISDIN delivery notes”</w:t>
      </w:r>
    </w:p>
    <w:p>
      <w:r>
        <w:t>(71) ISDIN will include the following text in all its delivery notes and/or documents evidencing the delivery of order forms: “The RRP provided by ISDIN is for informational purposes. The distributor retains full freedom to set the retail price.”</w:t>
      </w:r>
    </w:p>
    <w:p>
      <w:r>
        <w:t>(72) ISDIN has already implemented this commitment. Since the beginning of the 2022 fiscal year, it includes the text indicated in the initial proposal in all its delivery notes.</w:t>
      </w:r>
    </w:p>
    <w:p>
      <w:r>
        <w:t>VI.3. Third Commitment: “Inclusion of an early warning system regarding competition within ISDIN's standardized work procedures (“PNT”)”</w:t>
      </w:r>
    </w:p>
    <w:p>
      <w:r>
        <w:t>(73) Through this commitment, ISDIN will implement a new Standardized Work Procedure (“PNT”) by which an early warning system will be established when any member of its commercial network may have any doubts related to competition regulations and/or when any distributor communicates to any ISDIN employee any issue, controversy, or objection regarding the company's commercial approach from the perspective of competition regulations. The PNT will foresee the immediate involvement of ISDIN's legal team in the matter, with a commitment to study and resolve the issue within a maximum period of four weeks. This PNT is intended for all ISDIN employees, with special emphasis on the entire commercial network responsible for sales in Spain.</w:t>
      </w:r>
    </w:p>
    <w:p>
      <w:r>
        <w:t>(74) ISDIN will implement the PNT and will upload it to its platform immediately upon the approval and publication of the Resolution of conventional termination of the file (within a maximum period of one week). Furthermore, its existence will be communicated via corporate email and a general training will be provided to the entire commercial network of the company to inform them about the existence of the PNT, its operation, the mechanisms for resolving incidents, and to emphasize the firm commitment of the company's Management to the implementation of this PNT.</w:t>
      </w:r>
    </w:p>
    <w:p>
      <w:r>
        <w:t xml:space="preserve">S/0049/19  </w:t>
        <w:br/>
        <w:t>ISDIN</w:t>
      </w:r>
    </w:p>
    <w:p>
      <w:r>
        <w:t>VI.4. Fourth Commitment: “Training sessions on Competition for the entire ISDIN commercial network”</w:t>
      </w:r>
    </w:p>
    <w:p>
      <w:r>
        <w:t>(75) ISDIN commits to training its entire commercial network on compliance with Competition Law, particularly on issues of vertical restrictions (i.e. prohibition of resale price maintenance), both at the time of their incorporation into ISDIN and subsequently with a minimum annual frequency.</w:t>
      </w:r>
    </w:p>
    <w:p>
      <w:r>
        <w:t>(76) The training sessions of ISDIN will be recorded in the internal training platform of the commercial team.</w:t>
      </w:r>
    </w:p>
    <w:p>
      <w:r>
        <w:t>VI.5. Fifth Commitment: “Establishment of an objective and transparent system of commercial conditions for sale to distributors”</w:t>
      </w:r>
    </w:p>
    <w:p>
      <w:r>
        <w:t>(77) ISDIN commits to adopting a new system of objective and transparent commercial conditions and to informing its distributors, in order to ensure that no type of discrimination or retaliation occurs against distributors based on their resale pricing strategies.</w:t>
      </w:r>
    </w:p>
    <w:p>
      <w:r>
        <w:t>(78) This system is based on a matrix of elements and variables described below:</w:t>
      </w:r>
    </w:p>
    <w:p>
      <w:r>
        <w:t>VI.5.A. Elements and variables of the commercial conditions matrix:</w:t>
      </w:r>
    </w:p>
    <w:p>
      <w:r>
        <w:t>VI.5.A.a. Customer profile</w:t>
      </w:r>
    </w:p>
    <w:p>
      <w:r>
        <w:t xml:space="preserve">(79) With the new system, ISDIN establishes five categories of customers with a direct commercial relationship:  </w:t>
        <w:br/>
        <w:t xml:space="preserve">a) Pharmacy67;  </w:t>
        <w:br/>
        <w:t xml:space="preserve">b) Retailer68;  </w:t>
        <w:br/>
        <w:t xml:space="preserve">c) Etailer69;  </w:t>
        <w:br/>
        <w:t xml:space="preserve">d) Marketplace70;  </w:t>
        <w:br/>
        <w:t>e) Wholesaler71.</w:t>
      </w:r>
    </w:p>
    <w:p>
      <w:r>
        <w:t xml:space="preserve">67 The distributor holds at least one pharmacy office in accordance with current regulations.  </w:t>
        <w:br/>
        <w:t xml:space="preserve">68 Distributor of perfumery, cosmetics, department stores, or large surfaces that has a specialized parapharmacy area for the sale of dermocosmetic products.  </w:t>
        <w:br/>
        <w:t xml:space="preserve">69 Distributor whose sales channel is digital, without having a physical point of sale.  </w:t>
        <w:br/>
        <w:t>70 Operator that allows the sale of third parties through its platform.</w:t>
      </w:r>
    </w:p>
    <w:p>
      <w:r>
        <w:t xml:space="preserve">S/0049/19  </w:t>
        <w:br/>
        <w:t>ISDIN</w:t>
      </w:r>
    </w:p>
    <w:p>
      <w:r>
        <w:t>VI.5.A.b. Commercial conditions</w:t>
      </w:r>
    </w:p>
    <w:p>
      <w:r>
        <w:t>(80) ISDIN operates in the market offering its customers different levels of commercial conditions on the laboratory sale price (RRP), based on the commercial negotiation between the parties, which revolves around their performance on various parameters (e.g., assortment, pharmaceutical recommendation, participation in promotional campaigns, purchase volume, etc.).</w:t>
      </w:r>
    </w:p>
    <w:p>
      <w:r>
        <w:t xml:space="preserve">(81) The concepts that aim to objectify this commitment, and by which the maximum level of commercial conditions would be reached, vary depending on the type of customers, as their performance in the market is different:  </w:t>
        <w:br/>
        <w:t xml:space="preserve">a) Pharmacy: the concepts by which a certain percentage discount would be obtained would be divided into two types, which will be uniformly applied to all distributors:  </w:t>
        <w:br/>
        <w:t xml:space="preserve">1) Base conditions, based on the pharmacy's relationship with ISDIN:  </w:t>
        <w:br/>
        <w:t xml:space="preserve">- Recommendation from a pharmaceutical professional [‘%]  </w:t>
        <w:br/>
        <w:t xml:space="preserve">- Activity in Love ISDIN [ %]  </w:t>
        <w:br/>
        <w:t xml:space="preserve">- Connection to ISDIN Connect [%]  </w:t>
        <w:br/>
        <w:t xml:space="preserve">2) Additional conditions, based on:  </w:t>
        <w:br/>
        <w:t xml:space="preserve">- Assortment [%]  </w:t>
        <w:br/>
        <w:t xml:space="preserve">- Volume or growth compared to the previous year [%]  </w:t>
        <w:br/>
        <w:t xml:space="preserve">- Visibility or participation in campaigns [%]  </w:t>
        <w:br/>
        <w:t xml:space="preserve">b) Retailers, Etailers, and Marketplaces: In the case of these customers, who are more sophisticated and have greater negotiating power, the commercial conditions would be broken down into two concepts: (i) discount (decrease in the sale price, usually represented as a percentage of the initial price); and (ii) investment (usually materialized in direct payments to distributors for specific actions, although it can also be executed in the form of materials for the point of sale, presence of prescribers in the store, and other actions financed by ISDIN).  </w:t>
        <w:br/>
        <w:t>c) Wholesaler: the level of discount depends on concepts such as the wholesaler's presence in the distribution network to pharmacies, according to the product line (medications, cosmetics, etc.) and other intrinsic variables that each distributor decides to apply.</w:t>
      </w:r>
    </w:p>
    <w:p>
      <w:r>
        <w:t>71 Customer responsible for the marketing of ISDIN products at the wholesale level.</w:t>
      </w:r>
    </w:p>
    <w:p>
      <w:r>
        <w:rPr>
          <w:b/>
        </w:rPr>
        <w:t>[Pages 25–27]</w:t>
      </w:r>
    </w:p>
    <w:p>
      <w:r>
        <w:t xml:space="preserve">S/0049/19  </w:t>
        <w:br/>
        <w:t>ISDIN</w:t>
      </w:r>
    </w:p>
    <w:p>
      <w:r>
        <w:t xml:space="preserve">VI.5.A.c. Interrelation between parameters  </w:t>
        <w:br/>
        <w:t xml:space="preserve">(82) Each of the parameters indicated for each type of client is independent of the others, so a client can freely decide not to participate in a promotional campaign or not to connect to ISDIN Connect and, nevertheless, enjoy the rest of the discounts or commercial conditions.  </w:t>
        <w:br/>
        <w:t xml:space="preserve">(83) For its part, the concepts included in each category respond to the characteristics of each type of client, aiming to offer a level of commercial conditions equivalent and effectively achievable based on the contribution that each client can make to the creation of value for ISDIN.  </w:t>
        <w:br/>
        <w:t xml:space="preserve">(84) Regarding the implementation of the new system, it is adopted by the Commercial Management of ISDIN and applied by the Commercial Management and commercial team of ISDIN; it is binding for all members of ISDIN's commercial network and is transparent, as ISDIN will include in the document related to the implementation of the First Commitment, the information related to the implementation of this Fifth Commitment. Specifically, in the communication that it will send to its distributors, the parameters or variables to be considered in the new model of commercial discounts are included.  </w:t>
        <w:br/>
        <w:t>(85) After sending this communication, ISDIN will determine with the distributors the applicable conditions taking into account the aforementioned scheme.</w:t>
      </w:r>
    </w:p>
    <w:p>
      <w:r>
        <w:t xml:space="preserve">VI.6. Sixth Commitment: “Offering conditions to CASTILLO GRANDA”  </w:t>
        <w:br/>
        <w:t xml:space="preserve">(86) ISDIN commits to offer CASTILLO GRANDA reintegration into its selective distribution system under the same commercial conditions that this distributor had recognized prior to the start of the conflict and the application of the new model of commercial conditions that will be adopted under the Fifth Commitment as soon as the resolution terminating the file is adopted, as well as the adoption of a measure to repair the damages resulting from the analyzed conduct.  </w:t>
        <w:br/>
        <w:t xml:space="preserve">(87) ISDIN commits to present to the CNMC a copy of the agreement reached with CASTILLO GRANDA in the terms expressed above before the resolution that concludes this file. It effectively presented it on April 8, 202272.  </w:t>
        <w:br/>
        <w:t>72 Pages 1,706-1,733.</w:t>
      </w:r>
    </w:p>
    <w:p>
      <w:r>
        <w:t xml:space="preserve">S/0049/19  </w:t>
        <w:br/>
        <w:t>ISDIN</w:t>
      </w:r>
    </w:p>
    <w:p>
      <w:r>
        <w:t xml:space="preserve">VI.7. Seventh Commitment: “Strengthening the confidentiality of the ISDIN Connect tool”  </w:t>
        <w:br/>
        <w:t xml:space="preserve">(88) ISDIN commits to strengthen the current confidentiality of the information collected by the business intelligence tool associated with ISDIN Connect, which allows for the interaction and automatic transmission of certain information between pharmacies and ISDIN. In particular, this tool allows each of the connected pharmacies to share with ISDIN their sales data of ISDIN products both in value and in volume, among others, although it does not allow access by ISDIN's commercial network to individualized data related to the retail prices applied by the connected pharmacies.  </w:t>
        <w:br/>
        <w:t xml:space="preserve">(89) To reinforce the aforementioned confidentiality, ISDIN will establish a firewall or "Chinese walls" by implementing mandatory internal protocols that prevent ISDIN employees responsible for processing the information provided by the tool - integrated into the corporate team that receives and analyzes the data from the pharmacies but has no function related to commercial management - from eventually sharing with ISDIN's commercial network the individualized data received through the tool regarding the reference selling price (unit RRP) of each of the connected pharmacies.  </w:t>
        <w:br/>
        <w:t>(90) As compliance guarantee mechanisms for the Chinese walls, ISDIN will implement: a) an external software audit certifying the incapacity of commercial teams to access the unit RRP and b) a confidentiality commitment that members of the teams receiving and analyzing the data from the pharmacies must sign, which will prevent them from sharing the information with any other ISDIN employee.</w:t>
      </w:r>
    </w:p>
    <w:p>
      <w:r>
        <w:t xml:space="preserve">VI.8. Duration of commitments and monitoring  </w:t>
        <w:br/>
        <w:t xml:space="preserve">(91) The commitments will have a duration of three (3) years from the notification of the resolution terminating the file. By way of summary, ISDIN commits to immediately implement all commitments, with the following specificities:  </w:t>
        <w:br/>
        <w:t xml:space="preserve">The first commitment related to sending communications by ISDIN involves carrying out three monthly "waves," for which appropriate evidence and documentary certification will be transmitted to the CNMC, fifteen days after the sending of each of them. The first communication will be sent within a maximum period of one week from the publication of the resolution terminating the conventional file.  </w:t>
        <w:br/>
        <w:t xml:space="preserve">The second commitment has already begun to be applied. A certification from SAP with the total number of delivery notes issued will be sent to the CNMC within one month from the resolution that concludes the procedure.  </w:t>
        <w:br/>
        <w:t xml:space="preserve">The third commitment will be implemented immediately (within a maximum period of one week) after the resolution terminating the conventional file, and a certification evidencing the publication of the PNT, as well as its sending and training to the commercial staff, will be sent to the CNMC within a maximum period of one month from the publication of the resolution terminating the conventional file.  </w:t>
        <w:br/>
        <w:t xml:space="preserve">Additionally, the CNMC will receive (i) an annual certification evidencing compliance with the PNT; (ii) a biannual certification in the same sense issued by the external auditor; and (iii) an annual certification evidencing any competition-related incidents detected in the application of the PNT or through the B-right channel, including the evidential information of the response provided and, where applicable, the mechanisms implemented to resolve it.  </w:t>
        <w:br/>
        <w:t xml:space="preserve">Furthermore, ISDIN will make available to the CNMC the information necessary to clarify any competition-related incident that may have been processed through the early warning mechanism or the B-Right channel.  </w:t>
        <w:br/>
        <w:t xml:space="preserve">d. The fourth commitment, related to training, will also be implemented immediately, as the annual training sessions for the commercial network have already been conducted in the past and the upcoming sessions will be communicated to the CNMC annually.  </w:t>
        <w:br/>
        <w:t xml:space="preserve">e. The fifth commitment will be implemented immediately. ISDIN will send to the CNMC, under the same terms and deadlines indicated for the First Commitment, certification of the communication sent to the recipients and, additionally, will make available to the CNMC the information or documentation necessary to verify the implementation of the commitment.  </w:t>
        <w:br/>
        <w:t xml:space="preserve">f. The sixth commitment has already been materialized, as on April 8, 2022, ISDIN communicated that it had reached an agreement with CASTILLO GRANDA and provided a copy of the agreement reached between the parties.73  </w:t>
        <w:br/>
        <w:t xml:space="preserve">g. The seventh commitment will be implemented immediately. ISDIN will send to the CNMC certification evidencing the technical conditions of the ISDIN system, validated by an external auditor, and the Chinese walls implemented within a maximum period of 1 month after the resolution of the file.  </w:t>
        <w:br/>
        <w:t xml:space="preserve">Additionally, ISDIN will provide the CNMC with the data of the external suppliers of the data extraction software that constitute the basis of the ISDIN Connect system, for consultation or verification as deemed appropriate regarding the operation of the system.  </w:t>
        <w:br/>
        <w:t>73 Pages 1,708-1,729.</w:t>
      </w:r>
    </w:p>
    <w:p>
      <w:r>
        <w:rPr>
          <w:b/>
        </w:rPr>
        <w:t>[Pages 28–30]</w:t>
      </w:r>
    </w:p>
    <w:p>
      <w:r>
        <w:t xml:space="preserve">S/0049/19  </w:t>
        <w:br/>
        <w:t>ISDIN</w:t>
      </w:r>
    </w:p>
    <w:p>
      <w:r>
        <w:t>VII. LEGAL GROUNDS</w:t>
      </w:r>
    </w:p>
    <w:p>
      <w:r>
        <w:t xml:space="preserve">VII.1. [FIRST] JURISDICTION TO RESOLVE  </w:t>
        <w:br/>
        <w:t xml:space="preserve">(92) According to Article 5.1.c) of Law 3/2013 establishing the National Commission of Markets and Competition, the CNMC is competent to "apply the provisions of Law 15/2007, of July 3, regarding behaviors that prevent, restrict, and distort competition"74.  </w:t>
        <w:br/>
        <w:t xml:space="preserve">Article 20.2 of the same law assigns the Council the function of "resolving the sanctioning procedures provided for in Law 15/2007, of July 3," and in accordance with Article 14.1.a) of the Organic Statute of the CNMC, "the Competition Chamber will hear matters related to the application of Law 15/2007, of July 3"75.  </w:t>
        <w:br/>
        <w:t>Consequently, the jurisdiction to resolve this procedure corresponds to the Competition Chamber of the CNMC Council.</w:t>
      </w:r>
    </w:p>
    <w:p>
      <w:r>
        <w:t xml:space="preserve">VII.2. [SECOND] OBJECT OF THE RESOLUTION  </w:t>
        <w:br/>
        <w:t xml:space="preserve">(93) This resolution aims to resolve the proposal for conventional termination submitted to this Chamber by the Competition Directorate on August 5, 2022, within the framework of procedure S/0049/19 ISDIN.  </w:t>
        <w:br/>
        <w:t xml:space="preserve">Therefore, in this file, it is up to the Competition Chamber to decide whether the requirements established in the competition defense regulations are met to proceed with the conventional termination of this sanctioning procedure.  </w:t>
        <w:br/>
        <w:t xml:space="preserve">(94) The characteristics of the analyzed market and the scope of application of the facts subject to the file and the proposed commitments affect the entire national territory and especially the wholesale trade of perfumery and cosmetic products and the retail trade of cosmetic and hygiene products in specialized establishments.  </w:t>
        <w:br/>
        <w:t xml:space="preserve">This file was initiated considering that there were sufficient indications of a possible infringement of Article 1 of the LDC, as well as Article 101 TFEU by ISDIN, at least from June 2018 to February 2019.  </w:t>
        <w:br/>
        <w:t>(95)</w:t>
      </w:r>
    </w:p>
    <w:p>
      <w:r>
        <w:t xml:space="preserve">74 Law 3/2013, of June 4, establishing the National Commission of Markets and Competition (LCNMC) "BOE" No. 134, of 06/05/2013.  </w:t>
        <w:br/>
        <w:t>75 Approved by Royal Decree 657/2013, of August 30, "BOE" No. 209, of 08/31/2013.</w:t>
      </w:r>
    </w:p>
    <w:p>
      <w:r>
        <w:t xml:space="preserve">S/0049/19  </w:t>
        <w:br/>
        <w:t>ISDIN</w:t>
      </w:r>
    </w:p>
    <w:p>
      <w:r>
        <w:t>VII.3. [THIRD] ASSESSMENT OF THE CHAMBER</w:t>
      </w:r>
    </w:p>
    <w:p>
      <w:r>
        <w:t xml:space="preserve">VII.3.A. Preliminary Considerations  </w:t>
        <w:br/>
        <w:t xml:space="preserve">(96) The Agreement for Conventional Termination provided for in Article 52 of the LDC and Article 39 of the RDC constitutes an exceptional mode of termination through which the administrative procedure is concluded, specifically within the framework of a sanctioning file.  </w:t>
        <w:br/>
        <w:t xml:space="preserve">As indicated by the LDC, this termination of the sanctioning procedure regarding prohibited agreements and practices requires that the proposed commitments by the alleged infringers resolve the effects on competition arising from the behaviors subject to the file and that the public interest is sufficiently guaranteed. Thus, the termination of the sanctioning file cannot pronounce on the existence of an infringement of the LDC, replacing the possible sanction with commitments or obligations voluntarily accepted by the companies, which imply the exoneration of sanctioning liability.  </w:t>
        <w:br/>
        <w:t xml:space="preserve">(97) In accordance with the Communication of the defunct CNC on Conventional Termination of sanctioning files, and as noted, the commitments must be of such nature that they resolve the anticompetitive situation analyzed, so that guarantees must be established regarding the future behavior of the alleged infringers and mitigate or resolve the harmful effects of the alleged anticompetitive behaviors.  </w:t>
        <w:br/>
        <w:t xml:space="preserve">(98) It should also be noted that the agreement for conventional termination is a dual-nature agreement, since, on one hand, it has the character of an administrative resolution, which also complies with the principle of administrative efficiency by facilitating a reduction in the procedural steps and a shortening of the resolution times of the sanctioning file in which it is agreed, and, on the other hand, it is a private inter partes agreement, so that the parties interested in the procedure that ends with the Agreement for Conventional Termination are doubly obliged to respect the commitments reached76.  </w:t>
        <w:br/>
        <w:t xml:space="preserve">(99) The consideration of the Agreement as an administrative resolution obliges its compliance according to the general theory of Administrative Law and the principles of enforceability and executability, attributing to the Public Administration the exercise of the power of self-protection. And, in attention to the content of the Agreement resulting in commitments between private parties, the parties are bound to these commitments according to the general theory of Law expressed in Articles 1,091, 1,258, and 1,278 of the Civil Code, which enshrine the principle of pacta sunt servanda, of legal and jurisprudential construction, by which agreements bind their compliance with the same force as the Law.  </w:t>
        <w:br/>
        <w:t>(100) A breach could lead not only to coercive fines aimed at enforcing the obligations incurred in the Agreement for Conventional Termination but also the Administration may open a sanctioning procedure for the breach of such obligations, which represents a reinforcement of the executive self-protection power of the Administration, under the provisions of Articles 62 of the LDC and 21.4 of the RDC.</w:t>
      </w:r>
    </w:p>
    <w:p>
      <w:r>
        <w:t xml:space="preserve">VII.3.B. Assessment of the content of the commitments  </w:t>
        <w:br/>
        <w:t xml:space="preserve">(101) With the information contained in the file, this Chamber considers that the commercial conditions system analyzed in this file is not based on determined or objective criteria known to the recipients, but rather depends on various factors, including the individual negotiation of each client and, ultimately, on the criterion of ISDIN's commercial department.  </w:t>
        <w:br/>
        <w:t xml:space="preserve">(102) This Chamber has analyzed the viability of each of the commitments presented to resolve the identified competition problems, as will be outlined below, in relation to the behavior that led to the initiation of this sanctioning file.  </w:t>
        <w:br/>
        <w:t xml:space="preserve">(103) The commitments of ISDIN aim to resolve the detected competition problems, particularly the resale price setting, mainly in the online channel, accompanied by pressures consisting of the withdrawal of supply or linking the level of discounts to such monitoring, as evidenced in the case of CASTILLO GRANDA, and corroborated by the accounts of two other pharmacies in response to the information requests made.  </w:t>
        <w:br/>
        <w:t>(104) The commitments presented are not only aimed at compensating the complainant affected by the identified behavior but have a broader scope, establishing a guarantee regarding the future behavior of the company under investigation, as they imply the implementation of an objective, transparent, and non-discriminatory discount system, which will prevent the eventual linking of discounts to the following a specific pricing policy and deprive the commercial department of tools for individualized monitoring of the...</w:t>
      </w:r>
    </w:p>
    <w:p>
      <w:r>
        <w:rPr>
          <w:b/>
        </w:rPr>
        <w:t>[Pages 31–33]</w:t>
      </w:r>
    </w:p>
    <w:p>
      <w:r>
        <w:t xml:space="preserve">S/0049/19  </w:t>
        <w:br/>
        <w:t xml:space="preserve">ISDIN  </w:t>
        <w:br/>
        <w:t>prices applied by the pharmacies that provide it. Likewise, the members of the commercial department in particular – through a training plan – and all ISDIN personnel in general – through the PNT – will acquire greater knowledge of competition regulations, in order to avoid future conduct contrary to the same.</w:t>
      </w:r>
    </w:p>
    <w:p>
      <w:r>
        <w:t xml:space="preserve">VII.3.B.a. First and second commitments: Proactive communication to all ISDIN distributors and inclusion of an express reference to the indicative nature of the RRP in all ISDIN delivery notes  </w:t>
        <w:br/>
        <w:t xml:space="preserve">(105) The first and second commitments are assessed together as they are complementary in nature and their objective is the same, that is, to make visible to the distributors the indicative nature of the prices recommended by ISDIN in all cases.  </w:t>
        <w:br/>
        <w:t xml:space="preserve">(106) This commitment is positively valued, as its ultimate reason is to confirm the freedom of resale prices by the distributors, detaching the specific pricing policy adopted by each distributor from the rest of the commercial conditions.  </w:t>
        <w:br/>
        <w:t xml:space="preserve">(107) It is considered beneficial as it constitutes a clear reminder of the current regulations, both for ISDIN's commercial delegates, who negotiate the commercial conditions with the distributors, and for the latter – in many cases SMEs that may not have adequate advice on Competition Law – so that they know and are aware at all times of the freedom of price setting that protects them and can react to actions contrary to it.  </w:t>
        <w:br/>
        <w:t xml:space="preserve">(108) The implementation of the commitment is also positively valued, particularly that the Communication exclusively addresses the messages related to this file and does not include other matters, as well as the fact that it includes an express mention of the initiated file and covers 100% of its clients and not just the distribution network composed of pharmacies.  </w:t>
        <w:br/>
        <w:t>(109) Additionally, it is noteworthy that ISDIN indicates that the second commitment has already been implemented since the beginning of the 2022 fiscal year.</w:t>
      </w:r>
    </w:p>
    <w:p>
      <w:r>
        <w:t xml:space="preserve">S/0049/19  </w:t>
        <w:br/>
        <w:t xml:space="preserve">ISDIN  </w:t>
        <w:br/>
        <w:t xml:space="preserve">VII.3.B.b. Third and fourth commitments: Inclusion of an early warning system regarding competition within ISDIN's Standard Operating Procedures (“PNT”) and communication to clients and training sessions on competition for the entire ISDIN commercial network  </w:t>
        <w:br/>
        <w:t xml:space="preserve">(110) Again, these two commitments are analyzed together as they both constitute mechanisms to reinforce ISDIN's comprehensive compliance with competition regulations, extending this commitment to all its personnel, especially its commercial network, so that awareness is generated that the setting of resale prices constitutes an infringement of Competition Law.  </w:t>
        <w:br/>
        <w:t xml:space="preserve">(111) In this regard, the establishment of a mechanism that will allow for the early detection of any incidents regarding Competition Law is relevant, as it will help prevent possible infringements by ISDIN personnel; and to the CNMC to know them, as well as their treatment by ISDIN's Legal Area and the measures implemented to resolve them.  </w:t>
        <w:br/>
        <w:t xml:space="preserve">(112) Furthermore, as in the case of the first and second commitments, the PNT is a tool that helps to extend the culture of competition and brings it to both ISDIN employees, particularly those with tasks within the commercial department, and to its clients, and therefore also to the pharmacies in its network, in case controversies arise on the matter.  </w:t>
        <w:br/>
        <w:t xml:space="preserve">(113) The above is complemented and reinforced through the fourth commitment, related to training sessions on competition, specifically aimed at ISDIN's commercial department.  </w:t>
        <w:br/>
        <w:t>(114) Regarding its implementation, it is positively valued that this training is aimed at its entire commercial network, both at the time of their incorporation and subsequently, that it is proposed with a minimum annual frequency and that it focuses, in particular, on issues of vertical restrictions, as these are the ones that may occur more frequently in the field of commercial distribution.</w:t>
      </w:r>
    </w:p>
    <w:p>
      <w:r>
        <w:t xml:space="preserve">VII.3.B.c. Fifth commitment: Establishment of an objective and transparent system of commercial conditions for sale to distributors  </w:t>
        <w:br/>
        <w:t xml:space="preserve">(115) The establishment of an objective and transparent system of commercial conditions for ISDIN distributors is very positively valued, as it was nonexistent prior to the initiation of this procedure, favoring the emergence of arbitrary actions, such as the one investigated, regarding the application of discounts. This commitment will contribute to each distributor being able to know in advance what criteria they must meet to achieve certain discount levels, what maximum percentages they can reach, and what conditions they must fulfill to obtain them, being homogeneous for each category of distributors. In any case, there will be documented evidence of the criteria included in the new discount system in the communication that ISDIN will send to its distributors.  </w:t>
        <w:br/>
        <w:t xml:space="preserve">(116) This new discount system designed by ISDIN helps to achieve two fundamental objectives: (i) eliminate the risk that discount levels could be linked to the adherence to price recommendations by the distributors and (ii) prevent the use of discounts as a tool for sanction or retaliation in case the distributors do not follow ISDIN's price recommendations. Its scope, therefore, goes beyond the particular conduct identified in this file by preventing it from occurring across its entire distribution network.  </w:t>
        <w:br/>
        <w:t xml:space="preserve">(117) ISDIN identifies the Commercial Management and commercial team of ISDIN as responsible for the implementation of this system, which is binding for all of them. Additionally, it commits to include in the Communication provided for in the first commitment also the information related to the implementation of this fifth commitment. After sending this communication, ISDIN will determine with the distributors the applicable conditions taking into account the aforementioned scheme. Additionally, the commercial conditions of each client will be reflected in the system and included in the delivery notes sent to the distributors with each order, thus ensuring traceability of these if any verification is needed.  </w:t>
        <w:br/>
        <w:t>(118) The widespread implementation of the new model will be communicated in the same terms and timelines indicated in the first commitment.</w:t>
      </w:r>
    </w:p>
    <w:p>
      <w:r>
        <w:t xml:space="preserve">VII.3.B.d. Sixth commitment: Offering conditions to CASTILLO GRANDA  </w:t>
        <w:br/>
        <w:t xml:space="preserve">(119) Since the commitments must aim to mitigate or resolve the harmful effects that the conduct may have had in the market, the existence of a specific commitment by ISDIN aimed at compensating CASTILLO GRANDA is positively valued, given that ISDIN's conduct has had certain effects for a specific distributor, the complainant.  </w:t>
        <w:br/>
        <w:t>(120) Regarding its implementation, it is very positively valued that ISDIN has already formalized an agreement with the complainant to compensate them for the</w:t>
      </w:r>
    </w:p>
    <w:p>
      <w:r>
        <w:rPr>
          <w:b/>
        </w:rPr>
        <w:t>[Pages 34–36]</w:t>
      </w:r>
    </w:p>
    <w:p>
      <w:r>
        <w:t xml:space="preserve">S/0049/19  </w:t>
        <w:br/>
        <w:t xml:space="preserve">ISDIN  </w:t>
        <w:br/>
        <w:t>damages that its conduct may have caused, prior to the resolution of the conventional termination file.</w:t>
      </w:r>
    </w:p>
    <w:p>
      <w:r>
        <w:t xml:space="preserve">VII.3.B.e. Seventh commitment: strengthening the confidentiality of the ISDIN Connect tool  </w:t>
        <w:br/>
        <w:t xml:space="preserve">(121) Finally, the commitment to reinforce the confidentiality of the ISDIN Connect tool is viewed positively, as it will help ensure that individuals belonging to ISDIN's commercial department do not have access to certain information related to selling prices obtained with this tool, thus preventing it from being used as a price monitoring mechanism by ISDIN's Commercial Department, in order to apply worse commercial conditions or take measures against distributors who do not follow the recommended RRP.  </w:t>
        <w:br/>
        <w:t xml:space="preserve">(122) Although ISDIN's commercial staff, as clarified to the Competition Directorate, cannot currently access the unit RRP applied by each client through the aforementioned tool, it is considered that the commitment does add value, as it would help prevent the theoretical possibility that ISDIN's commercial team could require the IT team to extract specific information about the unit RRP applied by a particular client, a possibility that would disappear in compliance with this commitment.  </w:t>
        <w:br/>
        <w:t>(123) Furthermore, this proposal from ISDIN aligns with the measures outlined in the new Vertical Guidelines, which include, among others, Chinese walls or firewalls as mechanisms to prevent unwanted information exchanges.77</w:t>
      </w:r>
    </w:p>
    <w:p>
      <w:r>
        <w:t xml:space="preserve">VII.3.B.f. Monitoring and oversight by the CNMC  </w:t>
        <w:br/>
        <w:t xml:space="preserve">(124) Regarding the duration of the commitments, this Chamber considers that the established period (3 years) is appropriate to implement these commitments, ensure their compliance, and verify their proper functioning. In particular, it is worth noting positively that the implementation of the second and sixth commitments has already begun by ISDIN.  </w:t>
        <w:br/>
        <w:t xml:space="preserve">(125) On the other hand, it is considered that the commitments presented are accompanied in each case by comprehensive, effective, and agile measures regarding the documentation to be submitted to the CNMC and the deadlines for doing so, which will allow for adequate oversight.  </w:t>
        <w:br/>
        <w:t>(126) In light of the above, the Council Chamber of the CNMC,</w:t>
      </w:r>
    </w:p>
    <w:p>
      <w:r>
        <w:t>VIII. RESOLVES</w:t>
      </w:r>
    </w:p>
    <w:p>
      <w:r>
        <w:t xml:space="preserve">First. To agree, under the provisions of Article 52 LDC and Article 39.5 RDC, to the conventional termination of the sanctioning file S/0049/19 ISDIN, declaring the commitments presented by ISDIN dated March 11, 2022, as adequate and binding, which ISDIN will be obliged to comply with. To ensure the proper compliance with the commitments, for oversight purposes, it must:  </w:t>
        <w:br/>
        <w:t xml:space="preserve">1. Provide evidence and documentary certification to the CNMC of the sending of the communications referred to in the first commitment. The first communication will be sent within a maximum period of one week from the publication of the Resolution of conventional termination of the file, and the next two, fifteen days after the sending of each of them.  </w:t>
        <w:br/>
        <w:t xml:space="preserve">2. Send to the CNMC, within one month from the Resolution that concludes the procedure, a certification from SAP with the total number of delivery notes drafted and issued in accordance with the content of the second commitment.  </w:t>
        <w:br/>
        <w:t xml:space="preserve">3. Send to the CNMC certification evidencing the publication of the PNT (as contemplated in the third commitment) on the internal platform, as well as its sending and training to the commercial staff, within a maximum period of one month from the publication of the resolution of conventional termination. Additionally, it will send to the CNMC (i) an annual certification evidencing compliance with the PNT; (ii) a biannual certification in the same sense issued by the external auditor; and (iii) an annual certification evidencing any competition-related incidents detected in the application of the PNT or through the B-right channel, including the evidential information of the response provided and, where applicable, the mechanisms implemented to resolve it. Furthermore, ISDIN will make available to the CNMC any information necessary to clarify any competition-related incidents that may have been processed through the early warning mechanism or the B-Right channel.  </w:t>
        <w:br/>
        <w:t xml:space="preserve">4. Annually provide the CNMC with certification evidencing the training sessions (as contemplated in the fourth commitment) that occur from the Resolution of conventional termination of the file and during the following three years, including a list of attendees, as well as a copy of all documentation delivered (presentations, videos, group dynamics, and other materials).  </w:t>
        <w:br/>
        <w:t xml:space="preserve">5. Send to the CNMC, under the same terms and deadlines indicated for the first commitment, certification of the communication sent to the distributors regarding the new discount system established in the fifth commitment. Additionally, it will make available to the CNMC any information or documentation necessary to verify the implementation of the commitment.  </w:t>
        <w:br/>
        <w:t>6. Send to the CNMC certification evidencing the technical conditions of the ISDIN Connect system, validated by an external auditor, and the Chinese walls implemented within a maximum period of one month after the resolution of the file. Additionally, ISDIN will provide the CNMC with the data of the external suppliers of the data extraction software that constitute the basis of the ISDIN Connect system, for consultation or verification as deemed appropriate regarding the functioning of the system.</w:t>
      </w:r>
    </w:p>
    <w:p>
      <w:r>
        <w:t xml:space="preserve">Second. To entrust the oversight of the Resolution of conventional termination and, therefore, the compliance with the commitments reached and the obligations incurred, to the Competition Directorate.  </w:t>
        <w:br/>
        <w:t xml:space="preserve">Third.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  </w:t>
        <w:br/>
        <w:t>Communicate this resolution to the Competition Directorate and notify the interested parties, informing them that there is no administrative appeal against it, and they may resort to the contentious-administrative jurisdiction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