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https://www.cnmc.es/expedientes/s005008</w:t>
      </w:r>
    </w:p>
    <w:p>
      <w:r>
        <w:t>Pages translated : 3</w:t>
      </w:r>
    </w:p>
    <w:p/>
    <w:p>
      <w:r>
        <w:rPr>
          <w:b/>
        </w:rPr>
        <w:t>[Pages 1–3]</w:t>
      </w:r>
    </w:p>
    <w:p>
      <w:r>
        <w:t xml:space="preserve">RESOLUTION (S/0050/08, CHAMBERS OF COMMERCE)  </w:t>
        <w:br/>
        <w:t xml:space="preserve">COUNCIL  </w:t>
        <w:br/>
        <w:t xml:space="preserve">Mr. Luís Berenguer Fuster, President  </w:t>
        <w:br/>
        <w:t xml:space="preserve">Mr. Fernando Torremocha García-Sáenz, Councilor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In Madrid, on April 18, 2008  </w:t>
        <w:br/>
        <w:t xml:space="preserve">The Council of the National Competition Commission (the Council), with the composition stated above, and with the Rapporteur being Councilor Ms. Pilar Sánchez Núñez, has issued the following Resolution in the file S/0050/08 Chambers of Commerce, which arises from the document received by this National Competition Commission, in which the Chambers of Commerce are reported for allegedly engaging in conduct prohibited by Article 3 of Law 15/2007, by having affected the offer of web design services.  </w:t>
        <w:br/>
        <w:t xml:space="preserve">BACKGROUND  </w:t>
        <w:br/>
        <w:t xml:space="preserve">1. The Investigation Directorate of the Commission received a document from Mr. […] dated November 1, 2007, in which he reported the Chambers of Commerce for allegedly engaging in unfair competition against small businesses dedicated to web design, by having offered web design services.  </w:t>
        <w:br/>
        <w:t xml:space="preserve">2. On January 14, 2008, the Investigation Directorate made a request for rectification and expansion of the submitted document, since the complaint only included the complaint document on a postcard to which a press clipping was attached, in which a letter titled: “Unfair Competition: General Disaster Planned by […]” was published in the letters to the editor section.  </w:t>
        <w:br/>
        <w:t xml:space="preserve">3. On February 18, 2008, after the 10-day period granted to respond to the rectification had elapsed without receiving a reply, the Investigation Directorate of the Commission submitted to the Council a Proposal for Resolution (accompanied by the complaint and practical actions), suggesting the non-initiation of the sanctioning procedure, as well as the filing of the proceedings followed as a result of the submitted document by […].  </w:t>
        <w:br/>
        <w:t xml:space="preserve">The Investigation Directorate bases this Proposal for Resolution on a previous filing by the Director General of Competition Defense dated October 6, 2006, with reference 2701/06, considering that the complaint now submitted has the same object as the archived file, which acquired the status of final upon not being appealed. The complaint that led to this filing was submitted by a group of companies from Álava, dedicated to web design, against the Chamber of Commerce of Álava and Camerpyme S.A. for the launch of the project “Maspyme Alava,” consisting of the design of websites for small and medium-sized enterprises in Álava.  </w:t>
        <w:br/>
        <w:t xml:space="preserve">The analysis by the Competition Defense Service identified a large number of operators in the market of web creators, as well as the existence of standard applications for web design developed by large software companies (Adobe, Macromedia, Microsoft, etc.), and open-source and free software that allows for the generalization and dissemination of the aforementioned applications. All of this results in a wide variety of prices in the offer, leading the Competition Defense Service to conclude that it is a sufficiently open and competitive sector, and that “from the complaint and the information gathered, no rational indications of conduct prohibited by the LDC can be deduced,” and therefore, in accordance with Article 36 of the LDC, proceeded to file the proceedings.  </w:t>
        <w:br/>
        <w:t xml:space="preserve">4. The Council deliberated and ruled on the matter in its meeting on April 10, 2008.  </w:t>
        <w:br/>
        <w:t xml:space="preserve">LEGAL BASIS  </w:t>
        <w:br/>
        <w:t xml:space="preserve">Sole.- Article 49(3) of the Competition Defense Law provides that the Council, at the proposal of the Investigation Directorate of the Commission, may agree not to initiate sanctioning proceedings for the alleged commission of the prohibited conducts in Articles 1, 2, and 3 of the Law and, consequently, the filing of the proceedings carried out by the Investigation Directorate when it considers that there are no indications of infringement of the LDC.  </w:t>
        <w:br/>
        <w:t xml:space="preserve">After evaluating the precedent cited by the Investigation Directorate in its Proposal, the Council considers that there are no indications that allow for the appreciation that the reported conduct, regardless of the private interests that may be harmed, whose protection would correspond to another jurisdiction, could significantly distort free competition affecting the protected public interest, as required by Article 3 of our Competition Defense Law, and therefore considers that the Proposal made by the Investigation Directorate adequately analyzes the reported facts and their legal consequences in the field of competition defense law.  </w:t>
        <w:br/>
        <w:t xml:space="preserve">For all the above reasons, in view of the cited provisions and others of general application, the Council of the National Competition Commission,  </w:t>
        <w:br/>
        <w:t xml:space="preserve">RESOLVES  </w:t>
        <w:br/>
        <w:t xml:space="preserve">Sole.- Not to initiate sanctioning proceedings and to file the proceedings followed by the Investigation Directorate of the National Competition Commission as a result of the complaint submitted by […], considering that there are no indications of infringement of the Competition Defense Law.  </w:t>
        <w:br/>
        <w:t>This Resolution shall be communicated to the Investigation Directorate and notified to the complainant,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