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https://www.cnmc.es/expedientes/s005308</w:t>
      </w:r>
    </w:p>
    <w:p>
      <w:r>
        <w:t>Pages translated : 13</w:t>
      </w:r>
    </w:p>
    <w:p/>
    <w:p>
      <w:r>
        <w:rPr>
          <w:b/>
        </w:rPr>
        <w:t>[Pages 1–3]</w:t>
      </w:r>
    </w:p>
    <w:p>
      <w:r>
        <w:t xml:space="preserve">NATIONAL COURT  </w:t>
        <w:br/>
        <w:t xml:space="preserve">Contentious-Administrative Chamber  </w:t>
        <w:br/>
        <w:t xml:space="preserve">rW\ISTRACMN  </w:t>
        <w:br/>
        <w:t xml:space="preserve">MHWSTWIA Section: 006  </w:t>
        <w:br/>
        <w:t xml:space="preserve">MADRID  </w:t>
        <w:br/>
        <w:t xml:space="preserve">P0565 OFFICE RETURNING FILE AND CERTIFICATION RENT  </w:t>
        <w:br/>
        <w:t xml:space="preserve">Unique Identification Number: 28079 23 3 2009 0007644  </w:t>
        <w:br/>
        <w:t xml:space="preserve">Procedure: ORDINARY PROCEDURE 0000834/2009 MD  </w:t>
        <w:br/>
        <w:t xml:space="preserve">Appellant: SPANISH FEDERATION OF FOOD AND BEVERAGE INDUSTRIES  </w:t>
        <w:br/>
        <w:t xml:space="preserve">Ref.: Attached is a copy of the office for its location.  </w:t>
        <w:br/>
        <w:t xml:space="preserve">Having declared firm the judgment issued in the  </w:t>
        <w:br/>
        <w:t xml:space="preserve">contentious-administrative appeal noted in the margin, I have the honor to send a testimony of the same in order that  </w:t>
        <w:br/>
        <w:t xml:space="preserve">the agreed matters are carried out in due effect, the appropriate resolutions are adopted, and whatever is required for the  </w:t>
        <w:br/>
        <w:t xml:space="preserve">compliance with the declarations contained in the ruling is practiced, without returning the file as it is common with the  </w:t>
        <w:br/>
        <w:t xml:space="preserve">Ordinary Procedures 769/09, 817/09, 833/09, 846/09, and 850/09, requesting also acknowledgment of receipt.  </w:t>
        <w:br/>
        <w:t xml:space="preserve">In MADRID, on the seventh of May, two thousand twelve.  </w:t>
        <w:br/>
        <w:t xml:space="preserve">THE JUDICIAL SECRETARY  </w:t>
        <w:br/>
        <w:t xml:space="preserve">Signed: VICTOR GALLARDO SANCHEZ  </w:t>
        <w:br/>
        <w:t xml:space="preserve">NATIONAL COMPETITION COMMISSION  </w:t>
        <w:br/>
        <w:t xml:space="preserve">ENTRY  </w:t>
        <w:br/>
        <w:t xml:space="preserve">RegOf: 4715 i RG 4715  </w:t>
        <w:br/>
        <w:t xml:space="preserve">25/05/2012 12:30:22  </w:t>
        <w:br/>
        <w:t>NATIONAL COMPETITION COMMISSION.</w:t>
      </w:r>
    </w:p>
    <w:p>
      <w:r>
        <w:t xml:space="preserve">Appeal No.: 0000834/2009  </w:t>
        <w:br/>
        <w:t xml:space="preserve">yfocl  </w:t>
        <w:br/>
        <w:t xml:space="preserve">g 3  </w:t>
        <w:br/>
        <w:t xml:space="preserve">ADMINISTRATION  </w:t>
        <w:br/>
        <w:t xml:space="preserve">NATIONAL COURT  </w:t>
        <w:br/>
        <w:t xml:space="preserve">OF JUSTICE  </w:t>
        <w:br/>
        <w:t xml:space="preserve">Contentious-Administrative Chamber  </w:t>
        <w:br/>
        <w:t xml:space="preserve">SECTION SIX  </w:t>
        <w:br/>
        <w:t xml:space="preserve">Appeal No.: 0000834/2009  </w:t>
        <w:br/>
        <w:t xml:space="preserve">Type of Appeal: ORDINARY PROCEDURE  </w:t>
        <w:br/>
        <w:t xml:space="preserve">General Registry No.: 07112/2009  </w:t>
        <w:br/>
        <w:t xml:space="preserve">Plaintiff: SPANISH FEDERATION OF FOOD AND BEVERAGE INDUSTRIES (FIAB)  </w:t>
        <w:br/>
        <w:t xml:space="preserve">Procurator: Mr. ANTONIO GARCIA MARTINEZ  </w:t>
        <w:br/>
        <w:t xml:space="preserve">Defendant: COMPETITION DEFENSE TRIBUNAL  </w:t>
        <w:br/>
        <w:t xml:space="preserve">State Attorney  </w:t>
        <w:br/>
        <w:t xml:space="preserve">Reporting Judge: Ms. ANA ISABEL RESA GÓMEZ  </w:t>
        <w:br/>
        <w:t xml:space="preserve">JUDGMENT No.:  </w:t>
        <w:br/>
        <w:t xml:space="preserve">Hon. Ms. President:  </w:t>
        <w:br/>
        <w:t xml:space="preserve">Ms. MARÍA ASUNCIÓN SALVO TAMBO  </w:t>
        <w:br/>
        <w:t xml:space="preserve">Hon. Judges:  </w:t>
        <w:br/>
        <w:t xml:space="preserve">Ms. MERCEDES PEDRAZ CALVO  </w:t>
        <w:br/>
        <w:t xml:space="preserve">Ms. ANA ISABEL RESA GÓMEZ  </w:t>
        <w:br/>
        <w:t xml:space="preserve">Ms. CONCEPCIÓN MÓNICA MONTERO ELENA  </w:t>
        <w:br/>
        <w:t xml:space="preserve">Ms. LUCÍA ACÍN AGUADO  </w:t>
        <w:br/>
        <w:t xml:space="preserve">Madrid, the fifteenth of February, two thousand twelve.  </w:t>
        <w:br/>
        <w:t>Having seen the contentious-administrative appeal brought before the Contentious-Administrative Chamber of the National Court by the SPANISH FEDERATION OF FOOD AND BEVERAGE INDUSTRIES (FIAB), and in its name and representation by the Procurator Mr. D. Antonio García Martínez, against the Administration of the State, directed and represented by the State Attorney, regarding the Resolution of the National Competition Commission dated October 14, 2009, concerning a sanction, and the amount of this appeal being 500,000 euros.</w:t>
      </w:r>
    </w:p>
    <w:p>
      <w:r>
        <w:t xml:space="preserve">FACTUAL BACKGROUND  </w:t>
        <w:br/>
        <w:t xml:space="preserve">FIRST: A contentious-administrative appeal is filed by the Spanish Federation of Food and Beverage Industries (FIAB), and in its name and representation by the Procurator Mr. D. Antonio García Martínez, against the Administration of the State, directed and represented by the State Attorney, regarding the Resolution of the National Competition Commission dated October 14, 2009, requesting the Chamber to declare the nullity of the challenged Resolution and with it the imposed sanction or, subsidiarily, to agree to reduce the imposed sanction.  </w:t>
        <w:br/>
        <w:t xml:space="preserve">SECOND: Upon requesting and receiving the administrative file, it was transferred to the appellant for them to submit a written claim within the legal deadline, which they did in due time and form, alleging the facts and legal grounds they deemed appropriate, and requesting what is literally stated in the claim.  </w:t>
        <w:br/>
        <w:t xml:space="preserve">Within the legal deadline, the defendant administration also submitted a written response to the claim, opposing the plaintiff's request and alleging what they deemed appropriate for that purpose.  </w:t>
        <w:br/>
        <w:t xml:space="preserve">THIRD: Having requested the taking of evidence, the pertinent declarations were made, and the conclusions were submitted, the proceedings were concluded and pending voting and ruling, for which it was agreed to set the date of February 14, two thousand twelve.  </w:t>
        <w:br/>
        <w:t>FOURTH: In the processing of this case, the legal prescriptions provided in the Law of Contentious-Administrative Jurisdiction, and in the other concordant and supplementary provisions thereof, have been observed.</w:t>
      </w:r>
    </w:p>
    <w:p>
      <w:r>
        <w:t xml:space="preserve">LEGAL GROUNDS  </w:t>
        <w:br/>
        <w:t xml:space="preserve">FIRST: The object of the appeal in these proceedings is the Resolution of the National Competition Commission dated October 14, 2010, by which a fine of 500,000 euros is imposed on the current appellant for being proven to have committed an infringement of Article 1 of Law 16/1989 of July 17 on Defense.  </w:t>
        <w:br/>
        <w:t xml:space="preserve">SECOND: The Resolution of the CNC that we are judging today declares in its dispositive part:  </w:t>
        <w:br/>
        <w:t>"FIRST. Declare that in this file the existence of a collective recommendation prohibited by Article 1.1.a) of the LDC has been proven."</w:t>
      </w:r>
    </w:p>
    <w:p>
      <w:r>
        <w:rPr>
          <w:b/>
        </w:rPr>
        <w:t>[Pages 4–6]</w:t>
      </w:r>
    </w:p>
    <w:p>
      <w:r>
        <w:t xml:space="preserve">Appeal No.: 0000834/2009  </w:t>
        <w:br/>
        <w:t xml:space="preserve">ADMINISTRATION  </w:t>
        <w:br/>
        <w:t xml:space="preserve">instrumented through the preparation and dissemination of press releases and the  </w:t>
        <w:br/>
        <w:t xml:space="preserve">OF JUSTICE  </w:t>
        <w:br/>
        <w:t xml:space="preserve">collaboration among associations, aimed at facilitating the transfer to final prices of the increase in costs of raw materials, and of which the authors are the  </w:t>
        <w:br/>
        <w:t xml:space="preserve">SPANISH FEDERATION OF FOOD AND BEVERAGE INDUSTRIES  </w:t>
        <w:br/>
        <w:t xml:space="preserve">(hereinafter FIAB), the SPANISH ASSOCIATION OF BAKING AND PASTRY  </w:t>
        <w:br/>
        <w:t xml:space="preserve">(hereinafter PPM), the SPANISH ASSOCIATION OF PASTA MANUFACTURERS  </w:t>
        <w:br/>
        <w:t xml:space="preserve">(hereinafter AEFPA), the SPANISH ASSOCIATION OF MANUFACTURERS OF  </w:t>
        <w:br/>
        <w:t xml:space="preserve">SAUCES, CONDIMENTS, PREPARED FOODS AND SIMILAR (hereinafter AEFSYCP),  </w:t>
        <w:br/>
        <w:t xml:space="preserve">the SPANISH FEDERATION OF SWEET ASSOCIATIONS (hereinafter FEAD),  </w:t>
        <w:br/>
        <w:t xml:space="preserve">SPANISH ASSOCIATION OF CHOCOLATE AND COCOA DERIVATIVES  </w:t>
        <w:br/>
        <w:t xml:space="preserve">(hereinafter CHOCAO), SPANISH ASSOCIATION OF ICE CREAM MANUFACTURERS  </w:t>
        <w:br/>
        <w:t xml:space="preserve">(hereinafter AEFH) and the ASSOCIATION OF FLOUR AND SEMOLINA  </w:t>
        <w:br/>
        <w:t xml:space="preserve">MANUFACTURERS OF SPAIN (hereinafter AFHSE), and against the SPANISH  </w:t>
        <w:br/>
        <w:t xml:space="preserve">CONFEDERATION OF BAKING ORGANIZATIONS (hereinafter CEOPAN).  </w:t>
        <w:br/>
        <w:t xml:space="preserve">SECOND. To impose a fine of FIVE HUNDRED THOUSAND euros (€500,000) on  </w:t>
        <w:br/>
        <w:t xml:space="preserve">FIAB, TWO HUNDRED SEVENTY THOUSAND euros (€270,000) on CEOPAN, THREE  </w:t>
        <w:br/>
        <w:t xml:space="preserve">HUNDRED THOUSAND euros (€300,000) on FEAD, FORTY-FIVE THOUSAND euros  </w:t>
        <w:br/>
        <w:t xml:space="preserve">(€45,000) on AEFH, FORTY-FIVE THOUSAND euros (€45,000) on CHOCAO,  </w:t>
        <w:br/>
        <w:t xml:space="preserve">FORTY-FIVE THOUSAND euros (€45,000) on PPM, FIFTY-TWO THOUSAND euros  </w:t>
        <w:br/>
        <w:t xml:space="preserve">(€52,000) on AEFPA, THIRTY-SEVEN THOUSAND euros (€37,000) on AEFSYCP,  </w:t>
        <w:br/>
        <w:t xml:space="preserve">and FIFTEEN THOUSAND euros (€15,000) on AFHSE, as authors of the restrictive  </w:t>
        <w:br/>
        <w:t xml:space="preserve">conduct declared by this Council of the CNC in the present File.  </w:t>
        <w:br/>
        <w:t xml:space="preserve">THIRD. To order all sanctioned entities to publish this Resolution in the  </w:t>
        <w:br/>
        <w:t xml:space="preserve">Official State Gazette and its dispositive part in two national newspapers at the  </w:t>
        <w:br/>
        <w:t xml:space="preserve">expense of the author of the infringement. In case of non-compliance, a coercive  </w:t>
        <w:br/>
        <w:t xml:space="preserve">fine of €600 will be imposed on each of them for each day of delay.  </w:t>
        <w:br/>
        <w:t xml:space="preserve">FOURTH. To order the sanctioned entities to justify before the Research  </w:t>
        <w:br/>
        <w:t xml:space="preserve">Directorate of the CNC the compliance with the obligations imposed in the  </w:t>
        <w:br/>
        <w:t xml:space="preserve">previous sections.  </w:t>
        <w:br/>
        <w:t xml:space="preserve">FIFTH. To order the authors, as well as the executive officers representing them,  </w:t>
        <w:br/>
        <w:t xml:space="preserve">to refrain from engaging in similar conduct in the future.  </w:t>
        <w:br/>
        <w:t xml:space="preserve">SIXTH. To urge the Research Directorate of the CNC to monitor compliance with  </w:t>
        <w:br/>
        <w:t xml:space="preserve">this Resolution."  </w:t>
        <w:br/>
        <w:t xml:space="preserve">THIRD: The facts declared proven by the challenged Resolution, and which, after  </w:t>
        <w:br/>
        <w:t xml:space="preserve">the analysis of the proceedings, the Chamber accepts as such, can be specified in  </w:t>
        <w:br/>
        <w:t xml:space="preserve">the following statement of the challenged Resolution concerning the appellant:  </w:t>
        <w:br/>
        <w:t xml:space="preserve">"2.1 FIAB  </w:t>
        <w:br/>
        <w:t xml:space="preserve">(35) The Spanish Federation of Food and Beverage Industries (FIAB) was created in  </w:t>
        <w:br/>
        <w:t xml:space="preserve">1977 to represent, through a single organization and a single voice, the  </w:t>
        <w:br/>
        <w:t xml:space="preserve">Spanish food and beverage industry, the leading industrial sector of our  </w:t>
        <w:br/>
        <w:t xml:space="preserve">country. The FIAB is, therefore, the federation that represents the Associations of the  </w:t>
        <w:br/>
        <w:t xml:space="preserve">food and beverage manufacturing sectors whose activity falls under  </w:t>
        <w:br/>
        <w:t xml:space="preserve">heading 15 of the National Classification of Economic Activities (CNAE).  </w:t>
        <w:br/>
        <w:t xml:space="preserve">(36) Within the framework of its functions, the FIAB assumes the representation and  </w:t>
        <w:br/>
        <w:t xml:space="preserve">defense of the collective interests of these Associations and "enjoys its own legal  </w:t>
        <w:br/>
        <w:t xml:space="preserve">personality independent of that of its members and full capacity to act for the  </w:t>
        <w:br/>
        <w:t xml:space="preserve">fulfillment of its purposes" (folio 3229). Furthermore, its fundamental activity is to  </w:t>
        <w:br/>
        <w:t xml:space="preserve">"inform the food industry sector of developments that may affect its operation,  </w:t>
        <w:br/>
        <w:t xml:space="preserve">both present and potential or future, and to represent the interests of the food  </w:t>
        <w:br/>
        <w:t xml:space="preserve">industry before the different administrations and decision-making bodies,  </w:t>
        <w:br/>
        <w:t xml:space="preserve">national and community" (folio 1841).  </w:t>
        <w:br/>
        <w:t xml:space="preserve">(37) The FIAB currently brings together more than 50 sectoral associations (49  </w:t>
        <w:br/>
        <w:t xml:space="preserve">"member" Associations and 7 "affiliated") that group a collective of over  </w:t>
        <w:br/>
        <w:t xml:space="preserve">8000 food-producing companies in the country. According to its statutes  </w:t>
        <w:br/>
        <w:t xml:space="preserve">(folio 3233), only sectoral associations representative of the subsectors of the  </w:t>
        <w:br/>
        <w:t xml:space="preserve">food industry can be members of the federation. In the case of the present file, all  </w:t>
        <w:br/>
        <w:t xml:space="preserve">the associations against which it has been initiated, except CEOPAN, which is not a  </w:t>
        <w:br/>
        <w:t xml:space="preserve">member of FIAB, belong to the category of "full rights" members. Such is the case of  </w:t>
        <w:br/>
        <w:t xml:space="preserve">AFHSE, FEAD, AEFH, CHOCAO, PPM, AEFPA, and AEFSYCP.  </w:t>
        <w:br/>
        <w:t xml:space="preserve">(38) Regarding the representativeness of the Federation, in light of the information  </w:t>
        <w:br/>
        <w:t xml:space="preserve">provided by FIAB itself (folio 1868) indicating the degree of concentration of  </w:t>
        <w:br/>
        <w:t xml:space="preserve">demand in this sector against an offer of 30,000 companies, it can be deduced that  </w:t>
        <w:br/>
        <w:t xml:space="preserve">its sectoral representativeness would be around 25% (since through its members it  </w:t>
        <w:br/>
        <w:t xml:space="preserve">represents about 8000 companies).  </w:t>
        <w:br/>
        <w:t xml:space="preserve">(39) The governing bodies that make up FIAB (General Assembly, Board of  </w:t>
        <w:br/>
        <w:t xml:space="preserve">Directors, Presidency and Vice-Presidency, Secretary General, Delegated  </w:t>
        <w:br/>
        <w:t xml:space="preserve">Commission, and Working Commissions) are regulated in its statutes (art. 18).  </w:t>
        <w:br/>
        <w:t xml:space="preserve">Notably relevant for the present file is the role played by the Secretary General,  </w:t>
        <w:br/>
        <w:t xml:space="preserve">who is the Secretary of all collegiate bodies and Working Commissions of the  </w:t>
        <w:br/>
        <w:t xml:space="preserve">federation in whose meetings he participates with voice but without vote (art. 33 of the  </w:t>
        <w:br/>
        <w:t xml:space="preserve">statutes) (folio 3246). In turn, art. 34 of the statutes states that he is in charge of  </w:t>
        <w:br/>
        <w:t xml:space="preserve">the execution and management of the federation's affairs, and "... acts under the  </w:t>
        <w:br/>
        <w:t xml:space="preserve">direction and control of the Board of Directors, to whom he will directly depend  </w:t>
        <w:br/>
        <w:t xml:space="preserve">(...) (folio 3246).  </w:t>
        <w:br/>
        <w:t xml:space="preserve">(40) Given that the food industry increasingly depends on community-scale  </w:t>
        <w:br/>
        <w:t xml:space="preserve">regulations, FIAB established a delegation in Brussels in 1983 and has relations  </w:t>
        <w:br/>
        <w:t xml:space="preserve">with organizations such as the Confederation of Agro-food Industries (CITA), a  </w:t>
        <w:br/>
        <w:t xml:space="preserve">European business organization. It was also one of the first sectoral associations to  </w:t>
        <w:br/>
        <w:t xml:space="preserve">join the CEOE (folio 1842).  </w:t>
        <w:br/>
        <w:t xml:space="preserve">(41) FIAB has close relations with FEAD, the latter participating in FIAB's  </w:t>
        <w:br/>
        <w:t xml:space="preserve">activities in the following ways: i) in the Working Groups of FIAB, through its  </w:t>
        <w:br/>
        <w:t xml:space="preserve">secretariat; in the Delegated Commission of FIAB, through the participation of the  </w:t>
        <w:br/>
        <w:t xml:space="preserve">President of FEAD; and in the Board of Directors of FIAB, through the  </w:t>
        <w:br/>
        <w:t xml:space="preserve">Secretary General of FEAD, performing that function personally for BONMACOR.  </w:t>
        <w:br/>
        <w:t xml:space="preserve">At the time of the inspection at the headquarters of Bonmacor (30/10/2007), that  </w:t>
        <w:br/>
        <w:t xml:space="preserve">position was held by Ms. Diana Roig."  </w:t>
        <w:br/>
        <w:t xml:space="preserve">"Regarding the press release from FIAB:  </w:t>
        <w:br/>
        <w:t xml:space="preserve">The FIAB, as a Sectoral Federation, decides to issue a press release, as  </w:t>
        <w:br/>
        <w:t xml:space="preserve">noted in the file, at the initiative of some of its member associations. According  </w:t>
        <w:br/>
        <w:t xml:space="preserve">to the information in the file, the decision to draft the release is made by the  </w:t>
        <w:br/>
        <w:t xml:space="preserve">Secretary General of the Federation, in the exercise of the functions that are  </w:t>
        <w:br/>
        <w:t xml:space="preserve">proper to his position, and he assigns the task to the communication officer  </w:t>
        <w:br/>
        <w:t xml:space="preserve">(folio 3222).  </w:t>
        <w:br/>
        <w:t xml:space="preserve">On June 4, 2007, the communication department of the Federation sends a  </w:t>
        <w:br/>
        <w:t xml:space="preserve">mass mailing to the media of the following press release for publication  </w:t>
        <w:br/>
        <w:t xml:space="preserve">(1869, 2364).  </w:t>
        <w:br/>
        <w:t xml:space="preserve">Madrid, June 4, 2007. The Spanish food industry, represented through the  </w:t>
        <w:br/>
        <w:t xml:space="preserve">Spanish Federation of Food and Beverage Industries (FIAB), wishes to express its  </w:t>
        <w:br/>
        <w:t xml:space="preserve">concern over the sharp increase in prices that most of the raw materials  </w:t>
        <w:br/>
        <w:t xml:space="preserve">involved in its production have experienced during the year 2006. These increases,  </w:t>
        <w:br/>
        <w:t xml:space="preserve">primarily resulting from agricultural production, combined with the rising costs of  </w:t>
        <w:br/>
        <w:t xml:space="preserve">other "inputs" of the industry such as packaging materials and the cost of  </w:t>
        <w:br/>
        <w:t xml:space="preserve">electricity, are significantly harming the competitiveness and viability of  </w:t>
        <w:br/>
        <w:t xml:space="preserve">companies in the sector, both in the domestic market and in terms of exports.  </w:t>
        <w:br/>
        <w:t xml:space="preserve">This situation is due to various factors. In addition to the global deficit in  </w:t>
        <w:br/>
        <w:t xml:space="preserve">cereal production and the strong competition for these raw materials resulting from  </w:t>
        <w:br/>
        <w:t xml:space="preserve">the entry into the market of economies such as China and India, the European  </w:t>
        <w:br/>
        <w:t xml:space="preserve">market is affected by price interventions and the uncertainty of a new CAP that is  </w:t>
        <w:br/>
        <w:t xml:space="preserve">beginning to be implemented. Furthermore, the increasing use of these types of  </w:t>
        <w:br/>
        <w:t xml:space="preserve">raw materials for the production of biofuels is adding additional pressure to the  </w:t>
        <w:br/>
        <w:t xml:space="preserve">markets due to competition from new operators in the acquisition of these inputs.  </w:t>
        <w:br/>
        <w:t xml:space="preserve">Between May 2006 and May 2007, price increases in cereals have been observed,  </w:t>
        <w:br/>
        <w:t xml:space="preserve">ranging from 40% for wheat, 32% for corn, and 44% for barley. Consequently,  </w:t>
        <w:br/>
        <w:t xml:space="preserve">this situation is affecting processed cereals such as flour and semolina (bread,  </w:t>
        <w:br/>
        <w:t xml:space="preserve">biscuits, pastries, pasta, etc.), which represent 10% of food consumption in  </w:t>
        <w:br/>
        <w:t xml:space="preserve">Spain, or other products that depend on barley for more than 50%, such as beer.  </w:t>
        <w:br/>
        <w:t xml:space="preserve">The situation of insufficiency in cereal supply produces a chain effect in other  </w:t>
        <w:br/>
        <w:t xml:space="preserve">sectors. Thus, animal feed, which accounts for approximately 60% of the cost of  </w:t>
        <w:br/>
        <w:t xml:space="preserve">livestock production and its derivatives, depends on the production and price  </w:t>
        <w:br/>
        <w:t xml:space="preserve">increase in cereals, which is also impacting the price of animal products and their  </w:t>
        <w:br/>
        <w:t xml:space="preserve">derivatives (chicken, eggs, pork, beef, and their industrial derivatives). In fact,  </w:t>
        <w:br/>
        <w:t xml:space="preserve">the prices of feed for pork and beef have experienced increases of 10% and 25%.  </w:t>
        <w:br/>
        <w:t xml:space="preserve">The production of sectors such as sweet derivatives is also being affected by  </w:t>
        <w:br/>
        <w:t xml:space="preserve">increases, in addition to flour, in ingredients such as powdered milk (9.5%), dairy  </w:t>
        <w:br/>
        <w:t xml:space="preserve">solids (30%), or glucose (between 20% and 30%). Price increases are also being  </w:t>
        <w:br/>
        <w:t>observed in coffee (up to 64% in the last year).</w:t>
      </w:r>
    </w:p>
    <w:p>
      <w:r>
        <w:rPr>
          <w:b/>
        </w:rPr>
        <w:t>[Pages 7–9]</w:t>
      </w:r>
    </w:p>
    <w:p>
      <w:r>
        <w:t xml:space="preserve">Appeal No.: 0000834/2009  </w:t>
        <w:br/>
        <w:t xml:space="preserve">ADMINISTRATION  </w:t>
        <w:br/>
        <w:t xml:space="preserve">in the prices of green coffee (robusta) and in the production of juices, due to the increase  </w:t>
        <w:br/>
        <w:t xml:space="preserve">OF JUSTICE  </w:t>
        <w:br/>
        <w:t xml:space="preserve">in orange concentrates (50%) or apple (25%).  </w:t>
        <w:br/>
        <w:t xml:space="preserve">The same situation, although due to different circumstances, can be observed in the  </w:t>
        <w:br/>
        <w:t xml:space="preserve">canned fish sector, which is experiencing increases in its main raw materials of 17% for tuna, 17% for anchovies, 10% for mussels, 15% for mackerel, and 100% for sardines and sardines.  </w:t>
        <w:br/>
        <w:t xml:space="preserve">Likewise, other production factors such as the price of packaging materials such as cardboard and paperboard, which have risen between 6% and 8%, and PET (between 18 and 20%), combined with the significant increase in electricity costs (37%), are negatively impacting the productive situation of the industry.  </w:t>
        <w:br/>
        <w:t xml:space="preserve">The strong supply tensions that food companies are experiencing significantly harm their competitiveness, in an increasingly open internal market for finished products to competition from third countries, which do not face the difficulties arising from the intervention in raw materials, as well as other conditions such as the different regulatory requirements regarding food safety and the environment. It is also necessary to remember that the food industry is additionally pressured by the strong concentration of the distribution sector, whose conditions for negotiation and entry into its channels are becoming increasingly demanding.  </w:t>
        <w:br/>
        <w:t xml:space="preserve">In these terms, the FIAB considers it necessary to ensure supply conditions that allow for competitive cost levels and do not result in excessive prices for consumers.  </w:t>
        <w:br/>
        <w:t xml:space="preserve">FOURTH: The immediate precedent of this judgment consists of those issued by this Chamber and Section on June 29, 2011, in contentious-administrative appeal no. 833/2009, September 29, 2011, appeal no. 835/09, and November 10, 2011, appeal no. 846/09 filed against the same resolution of the National Competition Commission of October 14, 2009.  </w:t>
        <w:br/>
        <w:t xml:space="preserve">The grounds for appeal alleged by the appellant can be summarized as follows:  </w:t>
        <w:br/>
        <w:t xml:space="preserve">-. The failure to apply Article 101 of the Treaty of the European Community (former Article 81) by the CNC leads to the nullity of the resolution, because Article 3.1 of Regulation 1/2003 obliges national authorities.  </w:t>
        <w:br/>
        <w:t xml:space="preserve">-. Non-existence of the anticompetitive practice.  </w:t>
        <w:br/>
        <w:t xml:space="preserve">-. Inappropriateness and lack of proportionality of the sanction.  </w:t>
        <w:br/>
        <w:t xml:space="preserve">For its part, the State Attorney, based on judgments issued in this matter by this Chamber of the National Court and the Contentious-Administrative Chamber of the Supreme Court, presents the reasons why the previous grounds for appeal should be dismissed and the resolution of the CNC confirmed.  </w:t>
        <w:br/>
        <w:t>FIFTH: The first two issues were already addressed in the judgment dated September 29, 2011, appeal no. 835/09, in a dismissive sense and</w:t>
      </w:r>
    </w:p>
    <w:p>
      <w:r>
        <w:t xml:space="preserve">Appeal No.: 0000834/2009  </w:t>
        <w:br/>
        <w:t xml:space="preserve">ADMINISTRATION  </w:t>
        <w:br/>
        <w:t xml:space="preserve">whose criterion must be maintained in the interest of the principle of legal certainty.  </w:t>
        <w:br/>
        <w:t xml:space="preserve">OF JUSTICE  </w:t>
        <w:br/>
        <w:t xml:space="preserve">Indeed, in said judgment it was held that:  </w:t>
        <w:br/>
        <w:t xml:space="preserve">"The first ground concerning the nullity of the challenged administrative act for not applying Article 81 (currently 101) of the Treaty of the European Community is based on the presumption of the effect on intra-community trade of agreements or recommendations that affect the entirety of a Member State. It notes that both the TDC and the CNC have always defined the market for the supply of daily consumer goods as national, in addition to the configuration given to the distribution market.  </w:t>
        <w:br/>
        <w:t xml:space="preserve">The Court of Justice of the European Communities, when examining this requirement of 'affectation of intra-community trade,' has made it clear that: a) Article 81 TCE does not apply if the prohibited agreement or practice does not affect trade between Member States; b) the affectation of trade between Member States must be 'sensitive'; and c) this level of affectation must be determined and weighed on a case-by-case basis.  </w:t>
        <w:br/>
        <w:t xml:space="preserve">It follows that, contrary to what the appellant claims, there is no presumption whereby, by affecting the practice to the entirety of the territory of the State, the result is the affectation of intra-community trade. On the contrary, it must be examined in each case whether such affectation has occurred, and if it is sensitive. In this case, there is no trace of such affectation, nor consequently that the appellant's actions have distorted competition in trade between the Member States of the European Union in a significant manner.  </w:t>
        <w:br/>
        <w:t xml:space="preserve">This was made clear by the challenged Resolution:  </w:t>
        <w:br/>
        <w:t xml:space="preserve">"The Council considers that the recommendation has the capacity to unify the behavior of companies whose products are sold in retail distribution. As already mentioned, it aims to pass on the increase in the cost of raw materials to the final prices of the products sold in Spanish territory. Let us even recall that the markets of retail commercial distribution are defined by doctrine as local. The affectation to intra-community trade, if any, would be very indirect and not significant in that it is not a conduct of closing the national market (Communication - Guidelines regarding the concept of effect on trade contained in Articles 81 and 82 of the TCE, paragraphs 77 et seq.)."  </w:t>
        <w:br/>
        <w:t xml:space="preserve">The first ground for appeal must therefore be dismissed.  </w:t>
        <w:br/>
        <w:t xml:space="preserve">FIFTH: It is alleged secondly that there was no anticompetitive practice declared committed and for which a sanction of 500,000 euros is imposed on the appellant.  </w:t>
        <w:br/>
        <w:t>And this because, in their opinion, the fundamental elements of the collective recommendation are lacking, because the press release does not aim to announce a price increase, but contains objective and public data that is intended to be conveyed to the public.</w:t>
      </w:r>
    </w:p>
    <w:p>
      <w:r>
        <w:t xml:space="preserve">Appeal No.: 0000834/2009  </w:t>
        <w:br/>
        <w:t xml:space="preserve">ADMINISTRATION  </w:t>
        <w:br/>
        <w:t xml:space="preserve">OF JUSTICE  </w:t>
        <w:br/>
        <w:t xml:space="preserve">This Chamber considers, along with the Administration, that the objective and subjective elements of the infringement have been established, in this case, a collective recommendation. The acting Association has carried out a collective recommendation by preparing and disseminating a press release in which they express their concern about the significant increase in prices that most of the raw materials involved in their production have experienced during the year 2006. These increases, fundamentally derived from agricultural production, combined with the rising costs of other industry "inputs" such as packaging, packing, and electricity costs, are harming the competitiveness and viability of companies in the sector. It adds that this situation is due to various factors such as the global deficit in cereal production, strong competition from economies such as China and India, the impact on the European market due to price intervention, and the uncertainty of a new CAP that is beginning to be implemented, the use of these types of raw materials for the production of biofuels, which causes a shortage in cereal supply that produces a chain effect on other sectors, such as livestock production and derivatives, the confectionery sector, and canned fish. Finally, it adds that the food industry is pressured by the strong concentration of the distribution sector with increasingly demanding conditions.  </w:t>
        <w:br/>
        <w:t xml:space="preserve">In these terms, the FIAB considers it necessary to ensure supply conditions that allow for competitive cost levels and do not result in excessive prices for consumers."  </w:t>
        <w:br/>
        <w:t xml:space="preserve">Certainly, it does not explicitly say "the food and beverage manufacturers are going to raise the price because the price of raw materials has risen significantly," but the message is very clear in the opinion of this Chamber. If we add to this the set of similar notes sent to the media by the group of Associations dedicated to the manufacture and marketing of food products, the message not only becomes clearer but louder.  </w:t>
        <w:br/>
        <w:t xml:space="preserve">As this Chamber pointed out in the judgment of June 29, 2011:  </w:t>
        <w:br/>
        <w:t xml:space="preserve">"The existence of a collective recommendation aimed at limiting competition in the free formation of prices has been sufficiently proven. Such conduct consists of a coordinated action aimed at eliminating uncertainty in the behavior of competitors. Well, in the case we are considering, it is evident that a collective recommendation from several entities that comprise the main professionals in the food sector directly tends to unify behaviors with the corresponding elimination of uncertainty for individual competitors. The recommendation, considering the entities from which it originated, had sufficient capacity to provoke unification in behavior. And this is not hindered by the fact that professionals in the sector had the freedom to set prices, because what is important is the elimination of uncertainty through the recommendation.  </w:t>
        <w:br/>
        <w:t>On the other hand, coordination can be, as the provision indicates, through a consciously parallel conduct, without the need for an express agreement. The conduct, given the timing of the publication of the notes, as well as their content, reflects an awareness in the parallel behavior."</w:t>
      </w:r>
    </w:p>
    <w:p>
      <w:r>
        <w:rPr>
          <w:b/>
        </w:rPr>
        <w:t>[Pages 10–12]</w:t>
      </w:r>
    </w:p>
    <w:p>
      <w:r>
        <w:t xml:space="preserve">Recurso N°: 0000834/2009  </w:t>
        <w:br/>
        <w:t xml:space="preserve">ADMINISTRATION  </w:t>
        <w:br/>
        <w:t xml:space="preserve">The conduct is capable of affecting free competition: such capability is clearly  </w:t>
        <w:br/>
        <w:t xml:space="preserve">OF JUSTICE  </w:t>
        <w:br/>
        <w:t xml:space="preserve">described in the challenged resolution. The plaintiff considers that there is no such capability  </w:t>
        <w:br/>
        <w:t xml:space="preserve">because the conduct of FIAB does not contain any indicative price or indication that  </w:t>
        <w:br/>
        <w:t xml:space="preserve">could serve to unify a conduct.  </w:t>
        <w:br/>
        <w:t xml:space="preserve">In response to these allegations, it must be recalled that in its note it clearly indicates  </w:t>
        <w:br/>
        <w:t xml:space="preserve">the consequences of the rise in the price of raw materials, packaging, competition from  </w:t>
        <w:br/>
        <w:t xml:space="preserve">new biofuel operators, and the new common agricultural policy, etc. Likewise, for the  </w:t>
        <w:br/>
        <w:t xml:space="preserve">studied effects, it is irrelevant whether the data is accurate and whether it is past: what  </w:t>
        <w:br/>
        <w:t xml:space="preserve">is relevant is the message conveyed, indicating that inevitably the rise in the price of  </w:t>
        <w:br/>
        <w:t xml:space="preserve">raw materials will lead to an increase in the price of the final products that use them in  </w:t>
        <w:br/>
        <w:t xml:space="preserve">their production. As indicated in the challenged resolution, "This type of message  </w:t>
        <w:br/>
        <w:t xml:space="preserve">predisposes the affected companies to pass on the increase in the cost of inputs to prices  </w:t>
        <w:br/>
        <w:t xml:space="preserve">and favors the alignment of the competitive behavior of companies. The fact that the  </w:t>
        <w:br/>
        <w:t xml:space="preserve">increase is deemed certain or, at least, foreseeable, raises the incentives for companies to  </w:t>
        <w:br/>
        <w:t xml:space="preserve">raise prices, since they internalize in their decision-making that the rest of the  </w:t>
        <w:br/>
        <w:t xml:space="preserve">competitors 'will also do so.' It constitutes a message to companies that the increase is  </w:t>
        <w:br/>
        <w:t xml:space="preserve">inevitable as well as a signal for it to occur..."  </w:t>
        <w:br/>
        <w:t xml:space="preserve">For the reasons stated, this second ground of appeal must be dismissed.  </w:t>
        <w:br/>
        <w:t xml:space="preserve">SEVENTH-. In a subsidiary manner, it requests a reduction in the amount of the sanction,  </w:t>
        <w:br/>
        <w:t xml:space="preserve">considering it inappropriate and disproportionate.  </w:t>
        <w:br/>
        <w:t xml:space="preserve">Regarding this issue, this Section has already had the opportunity to rule in the  </w:t>
        <w:br/>
        <w:t xml:space="preserve">judgment dated June 29, 2011, in case no. 83/09, in which, concerning the assessment of  </w:t>
        <w:br/>
        <w:t xml:space="preserve">the conduct of the plaintiff, the challenged Resolution contains the following assertion,  </w:t>
        <w:br/>
        <w:t xml:space="preserve">which the chamber shares:  </w:t>
        <w:br/>
        <w:t xml:space="preserve">"Contrary to what some of the parties claim, the Council understands that the  </w:t>
        <w:br/>
        <w:t xml:space="preserve">DI has clearly typified the conduct subject to this file and that we are not at all  </w:t>
        <w:br/>
        <w:t xml:space="preserve">facing a new type of infringement as some of the allegations argue. For this Council, it is  </w:t>
        <w:br/>
        <w:t xml:space="preserve">clear that from the reading of the Proposal Report, it is concluded that the offense at  </w:t>
        <w:br/>
        <w:t xml:space="preserve">issue is the existence of a collective recommendation, which would have been  </w:t>
        <w:br/>
        <w:t xml:space="preserve">instrumented within each of the associations through the preparation and dissemination of  </w:t>
        <w:br/>
        <w:t xml:space="preserve">press releases and through a strategy of cooperation among them. This conduct would be  </w:t>
        <w:br/>
        <w:t xml:space="preserve">contrary to Article 1.1.a) of Law 16/1989.  </w:t>
        <w:br/>
        <w:t xml:space="preserve">The essential question, therefore, lies in whether, in light of the established facts, the  </w:t>
        <w:br/>
        <w:t xml:space="preserve">actions of the accused associations deserve such a qualification of unlawfulness and,  </w:t>
        <w:br/>
        <w:t xml:space="preserve">previously, whether the conduct is attributable to them.  </w:t>
        <w:br/>
        <w:t xml:space="preserve">From the reading of Articles 1.1 and 10.1 of Law 16/1989 and the doctrine arising  </w:t>
        <w:br/>
        <w:t xml:space="preserve">from its application, it follows that the prohibited conduct can be carried out by any  </w:t>
        <w:br/>
        <w:t xml:space="preserve">economic agent - a broad term that includes not only companies - and  </w:t>
        <w:br/>
        <w:t>9</w:t>
      </w:r>
    </w:p>
    <w:p>
      <w:r>
        <w:t xml:space="preserve">Recurso N°: 0000834/2009  </w:t>
        <w:br/>
        <w:t xml:space="preserve">ADMINISTRATION  </w:t>
        <w:br/>
        <w:t xml:space="preserve">also by associations or groups of economic agents. The prohibition of  </w:t>
        <w:br/>
        <w:t xml:space="preserve">OF JUSTICE  </w:t>
        <w:br/>
        <w:t xml:space="preserve">Article 1.1 LDC also presupposes the existence of a plurality of wills that, as this Council  </w:t>
        <w:br/>
        <w:t xml:space="preserve">has already stated in the Resolution issued in case S/0055/07 INPROVO, "in the  </w:t>
        <w:br/>
        <w:t xml:space="preserve">modalities of 'collective recommendation,' is not predicated regarding the conduct itself,  </w:t>
        <w:br/>
        <w:t xml:space="preserve">but rather on the nature of the entity that formally adopts it, which must be composed of a  </w:t>
        <w:br/>
        <w:t xml:space="preserve">plurality of independent economic operators, directly or indirectly through the  </w:t>
        <w:br/>
        <w:t xml:space="preserve">respective sectoral associations (as is the case with INPROVO, given its legal nature as  </w:t>
        <w:br/>
        <w:t xml:space="preserve">an interprofessional agri-food organization)."  </w:t>
        <w:br/>
        <w:t xml:space="preserve">In the present case, the infringing conduct is attributable to each of the  </w:t>
        <w:br/>
        <w:t xml:space="preserve">associations. In some cases (PPM, CHOCAO, AEFHSE, AAEFH, AEFPA,  </w:t>
        <w:br/>
        <w:t xml:space="preserve">AEFSyCP), they are constituted by companies dedicated to the manufacture and  </w:t>
        <w:br/>
        <w:t xml:space="preserve">marketing of different food products, depending on the scope of action of each  </w:t>
        <w:br/>
        <w:t xml:space="preserve">association. In others (FIAB, FEAD, CEOPAN), they group associations that are in turn  </w:t>
        <w:br/>
        <w:t xml:space="preserve">composed of independent economic agents.  </w:t>
        <w:br/>
        <w:t xml:space="preserve">In most cases, the governing bodies of the different associations, in which  </w:t>
        <w:br/>
        <w:t xml:space="preserve">competing companies sit, agreed to prepare the notes. However, even when this is not  </w:t>
        <w:br/>
        <w:t xml:space="preserve">the case (FIAB, AEFH, AEFPA), the lack of an explicit agreement from a corporate  </w:t>
        <w:br/>
        <w:t xml:space="preserve">governing body does not prevent considering the existence of that plurality of wills. As  </w:t>
        <w:br/>
        <w:t xml:space="preserve">this Council has already stated, "...it is sufficient that the recommendation is adopted or  </w:t>
        <w:br/>
        <w:t xml:space="preserve">expressed by an internal body of the collective entity, regardless of its composition  </w:t>
        <w:br/>
        <w:t xml:space="preserve">(collegiate or unipersonal), since what is relevant for the purposes of the prohibition of  </w:t>
        <w:br/>
        <w:t xml:space="preserve">Article 1.1 LDC is the collective nature of the entity that formally adopts the conduct,  </w:t>
        <w:br/>
        <w:t xml:space="preserve">and the objectively restrictive capability of its competition." (Resolution of the Council of  </w:t>
        <w:br/>
        <w:t xml:space="preserve">the CNC, case S/0055/07 INPROVO).  </w:t>
        <w:br/>
        <w:t xml:space="preserve">Both FIAB and some of its members have made efforts in their allegations to  </w:t>
        <w:br/>
        <w:t xml:space="preserve">demonstrate their independence of action concerning their members or the groups of  </w:t>
        <w:br/>
        <w:t xml:space="preserve">associations in which they are integrated, respectively. A similar situation occurs in the  </w:t>
        <w:br/>
        <w:t xml:space="preserve">case of FEAD, which is said not to hold a leadership position concerning its associates,  </w:t>
        <w:br/>
        <w:t xml:space="preserve">who acted independently. This Council accepts this independence of behavior. Precisely  </w:t>
        <w:br/>
        <w:t xml:space="preserve">for this reason, it is appropriate to understand that each of the associations that issues the  </w:t>
        <w:br/>
        <w:t xml:space="preserve">press release is responsible for a practice of collective recommendation, rather than limiting  </w:t>
        <w:br/>
        <w:t xml:space="preserve">the attribution to the entity that encompasses them. Each of them must answer for the  </w:t>
        <w:br/>
        <w:t xml:space="preserve">conduct carried out, since their independence of behavior implies that they are individually  </w:t>
        <w:br/>
        <w:t xml:space="preserve">responsible for incurring it."  </w:t>
        <w:br/>
        <w:t xml:space="preserve">From what has been stated so far, the capability of the note to distort competition  </w:t>
        <w:br/>
        <w:t xml:space="preserve">results.  </w:t>
        <w:br/>
        <w:t xml:space="preserve">The CNC considers that this is a very serious infringement regulated in  </w:t>
        <w:br/>
        <w:t xml:space="preserve">Article 62.4 a) of the LDC and that it is possible to impose the sanction provided for in  </w:t>
        <w:br/>
        <w:t xml:space="preserve">Article 63 1 c), a fine of up to 10% of the total turnover of the company.  </w:t>
        <w:br/>
        <w:t>10</w:t>
      </w:r>
    </w:p>
    <w:p>
      <w:r>
        <w:t xml:space="preserve">Recurso N°: 0000834/2009  </w:t>
        <w:br/>
        <w:t xml:space="preserve">ADMINISTRATION  </w:t>
        <w:br/>
        <w:t xml:space="preserve">In the challenged resolution, it is indicated that for the calculation of the sanction,  </w:t>
        <w:br/>
        <w:t xml:space="preserve">OF JUSTICE  </w:t>
        <w:br/>
        <w:t xml:space="preserve">in order to grade it concerning the limit applicable to operators without turnover among  </w:t>
        <w:br/>
        <w:t xml:space="preserve">associations, "the size of the sector or sectors that each of the associations represents" is  </w:t>
        <w:br/>
        <w:t xml:space="preserve">taken into account, referring to the footnotes of some of the press releases, resulting in  </w:t>
        <w:br/>
        <w:t xml:space="preserve">the figure of (4 billion euros for CEOPAN and FEAD respectively, 1.063 billion euros for  </w:t>
        <w:br/>
        <w:t xml:space="preserve">CHOCAO, 1.150 billion euros for PP, 1.780 billion euros for AFHSE, 630 million euros  </w:t>
        <w:br/>
        <w:t xml:space="preserve">for AEFSyCP, and regarding FIAB, it refers to its report where it states that the total  </w:t>
        <w:br/>
        <w:t xml:space="preserve">sales volume of the food and beverage sector in 2007 was 82.094 billion euros and  </w:t>
        <w:br/>
        <w:t xml:space="preserve">provides a breakdown of it by subsectors).  </w:t>
        <w:br/>
        <w:t xml:space="preserve">The criteria for grading that the CNC takes into account are as follows: "the  </w:t>
        <w:br/>
        <w:t xml:space="preserve">infringement is very serious because the press releases widely disseminate a message  </w:t>
        <w:br/>
        <w:t xml:space="preserve">that aims to facilitate the transfer to final prices of the increase in the cost of raw  </w:t>
        <w:br/>
        <w:t xml:space="preserve">materials not only for the food industry but also for distribution and consumers.  </w:t>
        <w:br/>
        <w:t xml:space="preserve">However, for the purposes of grading the sanction concerning the ceiling provided, the  </w:t>
        <w:br/>
        <w:t xml:space="preserve">Council takes into account the sporadic nature of the conduct and that there is no  </w:t>
        <w:br/>
        <w:t xml:space="preserve">certain evidence in the file of the actual effects that the collective recommendation may  </w:t>
        <w:br/>
        <w:t xml:space="preserve">have caused."  </w:t>
        <w:br/>
        <w:t xml:space="preserve">In the case at hand, the CNC does not share the DI's criterion regarding the  </w:t>
        <w:br/>
        <w:t xml:space="preserve">existence of aggravating circumstances in the case of FIAB as the instigator of the  </w:t>
        <w:br/>
        <w:t xml:space="preserve">conduct. It is established that FIAB acted in response to the requests of the  </w:t>
        <w:br/>
        <w:t xml:space="preserve">associations that compose it, and its coordination work is not evidenced to be more  </w:t>
        <w:br/>
        <w:t xml:space="preserve">proactive than that of the other sanctioned associations. It is also appropriate to take  </w:t>
        <w:br/>
        <w:t xml:space="preserve">into account for the scope of the calculation of the sanction that although its press  </w:t>
        <w:br/>
        <w:t xml:space="preserve">release refers to the impact of the rise in raw material costs across a wide range of  </w:t>
        <w:br/>
        <w:t xml:space="preserve">sectors, it does not concern the entire food and beverage sector. Thus, it is indicated in  </w:t>
        <w:br/>
        <w:t xml:space="preserve">the challenged resolution, "This Council understands that, both due to the content of the  </w:t>
        <w:br/>
        <w:t xml:space="preserve">notes and the active nature of the coordinating work carried out from its secretariats,  </w:t>
        <w:br/>
        <w:t xml:space="preserve">which fall on the same person for several associations, there is a comparatively greater  </w:t>
        <w:br/>
        <w:t xml:space="preserve">degree of severity in the case of FEAD, CHOCAO, PPM, AEFH, AEFSyCP, and AEFPA  </w:t>
        <w:br/>
        <w:t xml:space="preserve">(the latter also includes in its note a quantification of the increase), which must be  </w:t>
        <w:br/>
        <w:t xml:space="preserve">taken into account when grading the sanction."  </w:t>
        <w:br/>
        <w:t xml:space="preserve">In the judgment of March 19, 2009, of the CJEU in case C-510/2006-P Archer, the  </w:t>
        <w:br/>
        <w:t xml:space="preserve">Court stated in paragraph 75 that "Community law does not have any principle of  </w:t>
        <w:br/>
        <w:t xml:space="preserve">general application according to which the sanction must be proportional to the turnover  </w:t>
        <w:br/>
        <w:t xml:space="preserve">achieved by the company through the sale of the product subject to the infringement."  </w:t>
        <w:br/>
        <w:t xml:space="preserve">72 In this regard, the seriousness of infringements in Community law on competition  </w:t>
        <w:br/>
        <w:t xml:space="preserve">must be established based on many elements, such as the particular circumstances of the  </w:t>
        <w:br/>
        <w:t xml:space="preserve">case, its context, and the deterrent effect of the fines. In this sense, the judgment of the  </w:t>
        <w:br/>
        <w:t xml:space="preserve">Supreme Court of March 19, 2008, appeal for cassation 3063/2005 indicates that the  </w:t>
        <w:br/>
        <w:t xml:space="preserve">participation of several subjects as co-authors of the same infringement against the  </w:t>
        <w:br/>
        <w:t xml:space="preserve">defense of competition will not necessarily present the same degree of intensity. To the  </w:t>
        <w:br/>
        <w:t xml:space="preserve">extent that one of those subjects inspires the collusive agreement, promotes it, obtains the  </w:t>
        <w:br/>
        <w:t xml:space="preserve">adhesion of other economic agents, monitors its compliance, and drags others along. Its  </w:t>
        <w:br/>
        <w:t xml:space="preserve">authorship is of  </w:t>
        <w:br/>
        <w:t>11</w:t>
      </w:r>
    </w:p>
    <w:p>
      <w:r>
        <w:rPr>
          <w:b/>
        </w:rPr>
        <w:t>[Pages 13–13]</w:t>
      </w:r>
    </w:p>
    <w:p>
      <w:r>
        <w:t xml:space="preserve">Appeal No.: 0000834/2009  </w:t>
        <w:br/>
        <w:t xml:space="preserve">ADMINISTRATION  </w:t>
        <w:br/>
        <w:t xml:space="preserve">special significance that will logically justify a greater sanction  </w:t>
        <w:br/>
        <w:t xml:space="preserve">OF JUSTICE  </w:t>
        <w:br/>
        <w:t xml:space="preserve">than that imposed on the other subjects."  </w:t>
        <w:br/>
        <w:t xml:space="preserve">Now, in this case, the CNC has not established particular circumstances  </w:t>
        <w:br/>
        <w:t xml:space="preserve">that determine a greater severity of the conduct carried out by FIAB than by the  </w:t>
        <w:br/>
        <w:t xml:space="preserve">other sanctioned companies to which it has applied an aggravating circumstance,  </w:t>
        <w:br/>
        <w:t xml:space="preserve">therefore it is considered appropriate, given the criteria that the CNC has taken  </w:t>
        <w:br/>
        <w:t xml:space="preserve">into account to graduate the sanction, to reduce it to €300,000.  </w:t>
        <w:br/>
        <w:t xml:space="preserve">HAVING SEEN the cited precepts and others of general and pertinent application, by the  </w:t>
        <w:br/>
        <w:t xml:space="preserve">power granted to us by the Constitution:  </w:t>
        <w:br/>
        <w:t xml:space="preserve">WE DECREE  </w:t>
        <w:br/>
        <w:t xml:space="preserve">In light of the above, the Contentious-Administrative Chamber of the  </w:t>
        <w:br/>
        <w:t xml:space="preserve">National Court has decided:  </w:t>
        <w:br/>
        <w:t xml:space="preserve">TO PARTIALLY UPHOLD the contentious-administrative appeal filed  </w:t>
        <w:br/>
        <w:t xml:space="preserve">by the legal representation of the SPANISH FEDERATION OF FOOD AND  </w:t>
        <w:br/>
        <w:t xml:space="preserve">BEVERAGE INDUSTRIES (FIAB) against the resolution of the Council of the  </w:t>
        <w:br/>
        <w:t xml:space="preserve">National Competition Commission (CNC) of October 14, 2009 (file  </w:t>
        <w:br/>
        <w:t xml:space="preserve">S/0053/08) FIAB AND ASSOCIATES AND CEOPAN and consequently, it is  </w:t>
        <w:br/>
        <w:t xml:space="preserve">annulled exclusively in the part that agrees to impose a sanction of €500,000 on  </w:t>
        <w:br/>
        <w:t xml:space="preserve">FIAB, which must be reduced to €300,000. No costs are awarded.  </w:t>
        <w:br/>
        <w:t xml:space="preserve">Thus, by this our judgment, which will be notified stating that an appeal for  </w:t>
        <w:br/>
        <w:t xml:space="preserve">cassation can be filed against it, following the prescribed indications in Article  </w:t>
        <w:br/>
        <w:t xml:space="preserve">248 of Organic Law 6/1985, and a testimony of which will be sent in due course  </w:t>
        <w:br/>
        <w:t xml:space="preserve">to the originating office for legal purposes along with the file, as appropriate, we  </w:t>
        <w:br/>
        <w:t>pronounce, order, and 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