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https://www.cnmc.es/expedientes/s005908</w:t>
      </w:r>
    </w:p>
    <w:p>
      <w:r>
        <w:t>Pages translated : 13</w:t>
      </w:r>
    </w:p>
    <w:p/>
    <w:p>
      <w:r>
        <w:rPr>
          <w:b/>
        </w:rPr>
        <w:t>[Pages 1–3]</w:t>
      </w:r>
    </w:p>
    <w:p>
      <w:r>
        <w:t>NATIONAL COURT</w:t>
        <w:br/>
        <w:t>Contentious-Administrative Chamber</w:t>
        <w:br/>
        <w:t>SECTION SIX</w:t>
        <w:br/>
        <w:t>Secretariat of Mr. VÍCTOR GALLARDO SÁNCHEZ</w:t>
        <w:br/>
        <w:t>JUDGMENT No.:</w:t>
        <w:br/>
        <w:t>Date of Deliberation: 08/02/2011</w:t>
        <w:br/>
        <w:t>Date of Judgment: 10/02/2011</w:t>
        <w:br/>
        <w:t>Appeal No.: 0000318/2010</w:t>
        <w:br/>
        <w:t>Type of Appeal: ORDINARY PROCEDURE</w:t>
        <w:br/>
        <w:t>General Registry No.: 02654/2010</w:t>
        <w:br/>
        <w:t>Subject Matter of Appeal: SANCTION</w:t>
        <w:br/>
        <w:t>Accumulated Appeals:</w:t>
        <w:br/>
        <w:t>Date of Cassation:</w:t>
        <w:br/>
        <w:t>Rapporteur Hon. Ms.: MERCEDES PEDRAZ CALVO</w:t>
        <w:br/>
        <w:t>Plaintiff: ASSOCIATION OF PUBLIC SERVICE CRANE RENTAL COMPANIES</w:t>
        <w:br/>
        <w:t>Procurator: MR. ORTIZ DE APODACA GARCÍA</w:t>
        <w:br/>
        <w:t>Lawyer:</w:t>
        <w:br/>
        <w:t>Defendant: NATIONAL COMPETITION COMMISSION</w:t>
        <w:br/>
        <w:t>Co-defendant:</w:t>
        <w:br/>
        <w:t>State Attorney</w:t>
        <w:br/>
        <w:t>Resolution of the Judgment: PARTIALLY FAVORABLE</w:t>
        <w:br/>
        <w:t>Brief Summary of the Judgment:</w:t>
        <w:br/>
        <w:t>Sanction for prohibited conduct.</w:t>
      </w:r>
    </w:p>
    <w:p>
      <w:r>
        <w:t>NATIONAL COURT</w:t>
        <w:br/>
        <w:t>Contentious-Administrative Chamber</w:t>
        <w:br/>
        <w:t>SECTION SIX</w:t>
        <w:br/>
        <w:t>Appeal No.: 0000318/2010</w:t>
        <w:br/>
        <w:t>Type of Appeal: ORDINARY PROCEDURE</w:t>
        <w:br/>
        <w:t>General Registry No.: 02654/2010</w:t>
        <w:br/>
        <w:t>Plaintiff: ASSOCIATION OF PUBLIC SERVICE CRANE RENTAL COMPANIES</w:t>
        <w:br/>
        <w:t>Procurator: MR. ORTIZ DE APODACA GARCÍA</w:t>
        <w:br/>
        <w:t>Defendant: NATIONAL COMPETITION COMMISSION</w:t>
        <w:br/>
        <w:t>State Attorney</w:t>
        <w:br/>
        <w:t>Rapporteur Hon. Ms.: MERCEDES PEDRAZ CALVO</w:t>
        <w:br/>
        <w:t>JUDGMENT No.:</w:t>
        <w:br/>
        <w:t>Hon. Ms. President:</w:t>
        <w:br/>
        <w:t>Ms. MERCEDES PEDRAZ CALVO</w:t>
        <w:br/>
        <w:t>Hon. Magistrates:</w:t>
        <w:br/>
        <w:t>Ms. CONCEPCIÓN MÓNICA MONTERO ELENA</w:t>
        <w:br/>
        <w:t>Ms. LUCÍA ACÍN AGUADO</w:t>
        <w:br/>
        <w:t>Madrid, February tenth, two thousand eleven.</w:t>
        <w:br/>
        <w:t>Having seen the contentious-administrative appeal no. 318/10 brought before the Contentious-Administrative Chamber of the National Court by the ASSOCIATION OF PUBLIC SERVICE CRANE RENTAL COMPANIES represented by Procurator Mr. Ortiz de Apodaca García against the State Administration, directed and represented by Mr. State Attorney, regarding the Resolution of the National Competition Commission dated April 12, 2010, concerning a sanction for prohibited conduct amounting to 60,000 euros, with the Rapporteur being Judge Ms. Mercedes Pedraz Calvo.</w:t>
      </w:r>
    </w:p>
    <w:p>
      <w:r>
        <w:t>FACTUAL BACKGROUND</w:t>
        <w:br/>
        <w:t>FIRST.- The indicated legal representation filed a contentious-administrative appeal before this Chamber against the referenced Resolution by means of a written submission dated May 19, 2010. The Chamber issued a Provision agreeing to accept the appeal, ordering the request for the administrative file and the publication of the corresponding announcements in the BOE.</w:t>
        <w:br/>
        <w:t>SECOND.- At the appropriate procedural moment, the legal representation of the plaintiff formalized the claim through a written document in which, after alleging the facts and legal grounds deemed necessary, concluded by requesting that a judgment be issued in which the appeal is upheld, annulling the contested resolution for being contrary to law and declaring that the plaintiff has not engaged in prohibited practices under Article 1.1 of Law 16/1989. Alternatively, it is declared that the conduct, by application of Law 15/2007 due to its minor importance, is not sanctionable. Or alternatively, if it is considered that the imposition of a financial sanction for a prohibited conduct is appropriate, the amount of the same should be reduced in consideration of the mitigating factor of not having significantly affected competition.</w:t>
        <w:br/>
        <w:t>THIRD.- The State Attorney responded to the claim to oppose it, and based on the factual and legal grounds deemed appropriate, concluded by requesting the dismissal of the appeal.</w:t>
        <w:br/>
        <w:t>FOURTH.- The Chamber issued a Provision setting the date of February 8, 2011, for the voting and ruling on the appeal, having observed the legal requirements in its processing.</w:t>
      </w:r>
    </w:p>
    <w:p>
      <w:r>
        <w:t>LEGAL GROUNDS</w:t>
        <w:br/>
        <w:t>FIRST.- The object of challenge in this contentious-administrative appeal is the agreement issued by the National Competition Commission on April 12, 2010, in File S/0059/08 ANAGRUAL with the following dispositive part:</w:t>
        <w:br/>
        <w:t>“First.- Declare that in the present file the existence of two collective recommendations prohibited by Article 1.1 of Law 16/1989, on the Defense of Competition, authored by the NATIONAL BUSINESS ASSOCIATION OF PUBLIC SERVICE CRANE RENTAL COMPANIES (ANAGRUAL), has been established, which have consisted of the recommendation of two general contracting conditions, included in clauses 5 and 6 of the</w:t>
      </w:r>
    </w:p>
    <w:p>
      <w:r>
        <w:rPr>
          <w:b/>
        </w:rPr>
        <w:t>[Pages 4–6]</w:t>
      </w:r>
    </w:p>
    <w:p>
      <w:r>
        <w:t>standard contract includes clauses that establish minimum billable hours for each type of machine to be stated in the Rental Price List, and that the invoice must be paid by the client in cash prior to the provision of the service, unless otherwise agreed. The CNC concludes that these clauses constitute a collective recommendation that restricts competition, in violation of the LDC.</w:t>
      </w:r>
    </w:p>
    <w:p>
      <w:r>
        <w:t>FIFTH.- The CNC's resolution is based on the evidence presented, which includes the correspondence sent by ANAGRUAL to its members, indicating the obligation to adhere to the standard contract. The CNC emphasizes that the mere existence of minimum billable hours and the requirement for cash payment prior to service provision are sufficient to conclude that ANAGRUAL's actions are aimed at coordinating commercial practices among its members, which is contrary to the principles of free competition established by the LDC.</w:t>
      </w:r>
    </w:p>
    <w:p>
      <w:r>
        <w:t>SIXTH.- The appeal filed by ANAGRUAL raises significant legal questions regarding the interpretation of the LDC and the application of the principle of typicity in administrative sanctions. The CNC must carefully consider whether the actions of ANAGRUAL, as described in the evidence, constitute a violation of competition law or if they fall within acceptable practices for trade associations.</w:t>
      </w:r>
    </w:p>
    <w:p>
      <w:r>
        <w:t>SEVENTH.- The CNC will continue to monitor the compliance of ANAGRUAL with the obligations imposed by this resolution and will take further action if necessary to ensure adherence to competition laws.</w:t>
      </w:r>
    </w:p>
    <w:p>
      <w:r>
        <w:rPr>
          <w:b/>
        </w:rPr>
        <w:t>[Pages 7–9]</w:t>
      </w:r>
    </w:p>
    <w:p>
      <w:r>
        <w:t>the standard contract urges the uniformity of certain conditions that directly affect competition, such as the existence of minimum billable hours and the payment for services in cash and in advance. According to the CNC, the inclusion of such clauses in the contract restricts the independence of behavior of the lessor companies and clients to negotiate freely and autonomously, which constitutes a violation of competition law. The plaintiff argues that the purpose of this standard contract and these clauses was not to standardize the commercial contracting conditions but to comply with the regulatory framework of the sector and to facilitate the understanding of the true nature of the contracts and the regulations to which they are subject for the various economic agents involved. It points out that it had to draft this contract due to legal imperative. The reading of R.D. 837/2003 allows us to verify that in the Complementary Technical Instruction (ITC) "MIE-AEM-4", referring to self-propelled mobile cranes, Article 2.3 establishes: "3. Leasing company: is any holder (as owner, financial lessor, or similar) of mobile cranes that leases them with an operator, under the duly registered general contracting conditions." In the plaintiff's opinion, every company engaged in the activity of renting self-propelled mobile cranes must have registered general contracting conditions. And it is the Association that drafts them to facilitate the task for its members: "By jointly analyzing the general contracting conditions and the standard contract, it can be correctly interpreted what the purpose pursued by ANAGRUAL was, which was none other than to avoid confusion regarding the legal-contractual relationship with its clients and to facilitate compliance for its members with the requirement of having registered general contracting conditions." Regarding the establishment of minimum hours, the plaintiff first argues that it leaves companies free to establish them or not, the specific number of hours, etc., since there is no mention of the number of hours or the price. With this, it continues to argue, it seeks to lower prices, because users are informed of the concepts that can be included in the invoice. Regarding the payment in cash in advance, it refers to the provisions of Article 1544 of the Civil Code, according to which "In the lease of works or services, one of the parties is obliged to execute a work or to provide the other with a service for a certain price," since it is a leasing relationship. In any case, the parties would remain free, given the inclusion of the expression "unless otherwise agreed." The literal wording of Article 1 of the LDC leaves no doubt about the classification as a practice prohibited by law (both 16/89 and 15/2007) of collective recommendations that have as their object, produce, or may produce the effect of preventing, restricting, or distorting competition in whole or in part of the national market. The law cites among others the direct or indirect fixing of prices or other commercial or service conditions. In the transcribed regulation of Royal Decree 837/2003, the obligation to have registered general contracting conditions can be supported, but this regulation does not justify or support clauses contrary to free competition, as the disputed ones undoubtedly are: the setting of minimum billable hours for each type of machine to be stated in the Rental Price List, and the obligation for the invoice to be paid by the client in cash prior to the provision of the service. As reasoned by the challenged administrative act, "In no case has the regulation, as could not be otherwise, provided that among the general contracting conditions for reasons of safety and transparency, commercial conditions that must remain reserved for free negotiation between the parties are included." Indeed, one thing is the conditions related to safety, and another is the commercial conditions: "It is not illogical to think that a client who finds themselves on the same list with both types of conditions considers that all of them are of the same legal tenor, whereby they will consider that all bidders establish minimum billing hours, without this being a parameter subject to negotiation." The fact that, as could not be otherwise in a contractual relationship such as that established between the lessor and the lessee, the autonomy of the will of the contracting parties could impose another means of payment does not deprive the disputed clauses of their character as a collective recommendation prohibited by the LDC. By including these clauses in that model of contracting conditions, the commercial conditions among those who should be competitors, the associates, are being de facto unified, thereby eliminating competition on parameters that are fundamental when the lessee of the cranes makes their decision. In two aspects as relevant as minimum hours and the method of payment for services. Consequently, this first ground for appeal must be dismissed. FIFTH-. The second conduct contrary to free competition that the CNC declares ANAGRUAL has committed and for which it imposes a sanction is the recommendation of minimum prices to its members, through the preparation of an annual cost update study. The recommendation of minimum prices would have begun in 2003, with the cost study of that date, and would have been renewed annually, with the file indicating that the last cost study was from 2008. In that study, a list of prices was established below which it is not understandable that "a company with future projection" provides services. The CNC considers that recommendations of minimum prices based on standard sector costs constitute a restrictive conduct of competition consisting of the indirect fixing of prices in the market. The plaintiff argues that it has not been demonstrated that the cost studies have served to make a price recommendation to the member companies in ANAGRUAL because they were not used to establish impositions or price recommendations based on these. The only indication points in the opposite direction, as the disparity in rental prices for cranes has been verified. For the plaintiff, the cost study is a business necessity. First, it must be remembered that in sanctioning administrative law, the general principles of criminal law apply, albeit with nuances. In this case, it is necessary to take into account that a presumption regarding the purpose of the cost study cannot be applied, as established in the challenged resolution, according to which it is prepared to assist or contribute to the establishment of minimum prices. The proof of presumptions must be based on solid elements of judgment that must in turn be accredited. In the case at hand, as reasoned by the plaintiff, a cost study can have many purposes, and certainly among them, setting minimum prices through the simple mechanism of highlighting figures below which there is no profit. This setting is contrary to free competition but not all the other possible purposes of a cost study are. The reading of the challenged administrative act and the administrative file reveals that in this case it is declared that the purpose of the studies is to approach "a minimum selling price in the service of mobile cranes." It is clearer in that of the year 2003 than in that of 2008, as evidenced by the reading of the pages mentioned in the proven facts by the resolution of the CNC and textually reproduced therein (page 7). It is also noted that ANAGRUAL obtains average rental price lists and minimum hours. In the proven facts, the challenged administrative act states that the cost study begins justifying its existence, declaring that "The present only intends to approach from an objective and generalist point of view the production cost of one hour of self-propelled mobile crane under certain parameters (...) and therefore to a minimum selling price in the service of mobile cranes." Likewise, it states that "In the 2003 study, it is affirmed that having considered basically 'minimum costs, it is not understandable in a company with service and future projection a price list lower than that resulting from the summary sheets,' being reasonable to use the production cost of 4 hours a day for single services and 8 hours a day for continuous work." And that in the 2008 study it is stated that it does not aim to "determine the specific cost of a model of crane of a certain brand (...) and with a certain equipment," but to "indicate reference cost values that serve for each company in the sector to compare with those being offered in the market and analyze whether what is happening is sustainable in the long term."</w:t>
      </w:r>
    </w:p>
    <w:p>
      <w:r>
        <w:rPr>
          <w:b/>
        </w:rPr>
        <w:t>[Pages 10–12]</w:t>
      </w:r>
    </w:p>
    <w:p>
      <w:r>
        <w:t>The issue to determine is whether the accreditation of the objective and subjective elements of the infringement declared committed by the CNC is sufficient, specifically the accreditation that ANAGRUAL has prepared a document on the production cost of one hour of self-propelled mobile crane, and whether it can be understood that this constitutes a collective recommendation of a minimum selling price for this service. The recommendation requires that the study be transmitted, shared with the members, circulated, and accessible to the companies that are part of the Association. The CNC itself considers that the conduct is sanctionable because it has been transmitted: “This message transmitted from a national association constitutes a collective recommendation of minimum prices that restricts competition, at least by its object.” (p. 20 of the proposal report of the D.I.).</w:t>
      </w:r>
    </w:p>
    <w:p>
      <w:r>
        <w:t>In order to establish the conclusions of the CNC regarding the dissemination of the cost study, it is verified that:</w:t>
        <w:br/>
        <w:t>-. The Directorate of Investigation indicates that “regarding the cost study prepared by ANAGRUAL for the self-propelled mobile crane companies, ANAGRUAL has not disseminated it generally, but only certain companies have been aware of its content, and even some members claim that they are not aware that the study was conducted. In particular, three of the 10 companies requested received the 2003 study and did not make effective use of it since the formation of their prices depended on particular criteria, such as the duration and continuity of the service, the type of client, or the work area.”</w:t>
        <w:br/>
        <w:t>-. The Council in the challenged administrative act establishes when analyzing the reference price lists that the dissemination of the data is fundamental: “The Council values that despite being in a less concentrated sector, the characteristics of the exchanged information analyzed previously, if effectively disseminated among its members, could have been suitable to reduce the level of uncertainty in the market, especially when analyzed together with the two previously sanctioned conducts by their object.”</w:t>
      </w:r>
    </w:p>
    <w:p>
      <w:r>
        <w:t>Regarding the conduct being evaluated, the challenged administrative act reasons that:</w:t>
        <w:br/>
        <w:t>-. The plaintiff has prepared a document that collects representative values of the costs incurred by its members in carrying out their business activity.</w:t>
        <w:br/>
        <w:t>-. Anyone who consults the document can deduce that “if that is the average cost of the service, the prices that should be applied must exceed that value if a lawful business profit is intended.”</w:t>
        <w:br/>
        <w:t>-. “In light of this, the Council can only conclude that these studies imply, by their object, a restriction on competition consisting of recommending minimum prices.”</w:t>
      </w:r>
    </w:p>
    <w:p>
      <w:r>
        <w:t>Although initially, as seen, the CNC requires dissemination, at the same time, the Council of the CNC understands that the lack of distribution of the study and the lack of knowledge of it by the members only affect the existence or not of effects of the conduct but not the perfection of the sanctioning type: “Firstly, it is recorded in the file (HA. 4.1) that the cost study was known and distributed by the Board of Directors in July 2002, and that in that Board of Directors it was agreed to submit it to the regional associations and that once approved it would be sent to all members. Likewise, from the information requests made to different companies, it has been accredited that some of the companies were indeed aware of its existence, and some even had a copy, although none have acknowledged that they were used to set their prices.”</w:t>
      </w:r>
    </w:p>
    <w:p>
      <w:r>
        <w:t>It results, in the opinion of this Chamber, from the entirety of the proceedings and the challenged administrative act itself, that it has only been accredited that in 2002 the study was agreed to be carried out and that some companies were aware of “its existence”; but it has not been accredited that the members were made aware of the study first, and there is no indication regarding the distribution to the members, or their knowledge in any way of the 2008 study.</w:t>
      </w:r>
    </w:p>
    <w:p>
      <w:r>
        <w:t>In summary: no evidence has been presented, nor have reasons been established by which it can be understood that the cost studies were “transmitted,” and although ANAGRUAL itself acknowledges that it was “managed internally and if a member requests it, it is sent” (folio 1802), it is not recorded that it was made known in a way that could be susceptible to being a “recommendation.” Therefore, it is not a matter of requiring that it had the “effect” of establishing minimum prices, but rather concluding that the study without publicity among the members cannot serve to establish minimum prices.</w:t>
      </w:r>
    </w:p>
    <w:p>
      <w:r>
        <w:t>Therefore, the challenged administrative act must be annulled in so far as it declares that two collective recommendations prohibited by Article 1.1 of Law 16/1989, on the Defense of Competition, have been committed, due to the lack of accreditation of the recommendation of minimum prices for the rental services of self-propelled mobile cranes.</w:t>
      </w:r>
    </w:p>
    <w:p>
      <w:r>
        <w:t>Since a sanction of sixty thousand euros has been imposed for the two infringements, it can be understood, based on the reasoning contained in the sixth legal basis of the challenged administrative act, that half of the amount corresponds to each of the two infringements. The consequence of the partial acceptance of the appeal, by annulling the declaration that one of the infringements has been committed, must necessarily be the determination that the sanction to be imposed for the infringement that is confirmed is thirty thousand euros.</w:t>
      </w:r>
    </w:p>
    <w:p>
      <w:r>
        <w:t>SIXTH-. The next two grounds for appeal, violation in the sanctioning procedure of the principle of presumption of innocence established in Article 137 of Law 30/1992, and the principle of responsibility of Article 130 of Law 30/1992, must be examined only in relation to the infringement that remains, the one related to clauses 5 and 6 of the general contracting conditions.</w:t>
      </w:r>
    </w:p>
    <w:p>
      <w:r>
        <w:t>The grounds must be dismissed: the challenged resolution explains in detail the reasons why the commission of the infringement has been accredited, and there is no doubt about the concurrence of the subjective element, considering that the infringements of the Law on the Defense of Competition are sanctionable even on the grounds of negligence. For these purposes, the reasoning contained in the fourth legal basis of this judgment must be deemed reproduced.</w:t>
      </w:r>
    </w:p>
    <w:p>
      <w:r>
        <w:t>Regarding the proportionality of the imposed sanction, which for the reasons set out in the previous legal basis has been reduced to the amount of thirty thousand euros, the sixth legal basis of the challenged administrative act, “The calculation of the sanction,” includes as elements taken into account, not only the annual budget of the plaintiff but also the duration of the conduct, the affected market, and the level of billing of the sector. And in light of the circumstances that the Administration has valued, this Chamber considers that the amount of the sanction corresponding to the first infringement, established on these bases, of 30,000 euros, is in accordance with the law.</w:t>
      </w:r>
    </w:p>
    <w:p>
      <w:r>
        <w:t>SEVENTH-. No merits are appreciated that determine a special pronouncement on costs, according to the criteria contained in Article 139.1 of the Regulatory Law of Contentious Administrative Jurisdiction.</w:t>
      </w:r>
    </w:p>
    <w:p>
      <w:r>
        <w:t>HAVING SEEN the cited precepts and others of general and pertinent application, by the power granted to us by the Constitution,</w:t>
      </w:r>
    </w:p>
    <w:p>
      <w:r>
        <w:t>WE DECREE</w:t>
        <w:br/>
        <w:t>That we must PARTIALLY ACCEPT and we ACCEPT the contentious-administrative appeal for the protection of fundamental rights filed by the legal representation of the ASSOCIATION OF PUBLIC SERVICE CRANE RENTAL COMPANIES (ANAGRUAL) against the Agreement issued on April 12, 2010, by the National Competition Commission described in the first legal basis of this judgment, in the terms established in the fifth legal basis of the same, establishing the amount of the fine to be paid by the appellant at thirty thousand euros. Without imposing costs.</w:t>
      </w:r>
    </w:p>
    <w:p>
      <w:r>
        <w:t>Notify the parties of this judgment, complying with the provisions of Article 248, paragraph 4 of the Organic Law of the Judiciary.</w:t>
      </w:r>
    </w:p>
    <w:p>
      <w:r>
        <w:t>Thus, by this our Judgment, a testimony of which will be sent in due course to the originating office, for legal purposes, along with the file -if applicable- we pronounce, order, and decree.</w:t>
      </w:r>
    </w:p>
    <w:p>
      <w:r>
        <w:rPr>
          <w:b/>
        </w:rPr>
        <w:t>[Pages 13–13]</w:t>
      </w:r>
    </w:p>
    <w:p>
      <w:r>
        <w:t>PUBLICATION.- The previous Judgment was read and published by the Hon. Ms. Rapporteur Magistrate on this date, while the Sixth Section of the Contentious-Administrative Chamber of the National Court was holding a Public Hearing.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