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https://www.cnmc.es/expedientes/s006308</w:t>
      </w:r>
    </w:p>
    <w:p>
      <w:r>
        <w:t>Pages translated : 5</w:t>
      </w:r>
    </w:p>
    <w:p/>
    <w:p>
      <w:r>
        <w:rPr>
          <w:b/>
        </w:rPr>
        <w:t>[Pages 1–3]</w:t>
      </w:r>
    </w:p>
    <w:p>
      <w:r>
        <w:t xml:space="preserve">RESOLUTION  </w:t>
        <w:br/>
        <w:t xml:space="preserve">Exp. S/0063/08, Road Transport Concessions Protocol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October 6, 2010  </w:t>
        <w:br/>
        <w:t xml:space="preserve">The Council of the National Competition Commission, with the composition expressed and with Mr. Julio Costas Comesaña serving as Rapporteur, has issued the following Resolution in the reserved information file S/0063/08, opened by the Directorate of Investigation by virtue of the document submitted by GLOBALIA AUTOCARES, S.A. regarding certain conduct of the Ministry of Development related to the offer of regular public transport of general use for passengers by road, which it considers restrictive of competition in accordance with Law 15/2007, of July 3, on the Defense of Competition.  </w:t>
        <w:br/>
        <w:t xml:space="preserve">FACTUAL BACKGROUND  </w:t>
        <w:br/>
        <w:t xml:space="preserve">1. On March 14, 2008, a document was received in the Directorate of Investigation (DI) of the National Competition Commission (CNC) from XXX representing the company GLOBALIA AUTOCARES, S.A. (GLOBALIA), in which it requests, under the provisions of Article 49 of Law 15/2007, of July 3, on the Defense of Competition (LDC), the undertaking of various actions related to the offer of regular public transport of general use for passengers by road. Specifically, it requests the CNC to undertake actions aimed at:  </w:t>
        <w:br/>
        <w:t xml:space="preserve">“Invalidating the Protocol [Support Protocol for establishing the criteria for the tenders of public service concessions for regular and general use passengers, under the jurisdiction of the Ministry of Development, expiring from 2007, dated April 24, 2007].  </w:t>
        <w:br/>
        <w:t xml:space="preserve">Invalidating the tenders called in accordance with it and preventing the calling of others with a similar award system.  </w:t>
        <w:br/>
        <w:t xml:space="preserve">Allowing participation in the tenders for the award of regular road transport concessions for general use to companies engaged in discretionary transport and also to any company engaged in passenger transport by bus or coach that meets the requirements established in the LOTT and its Regulation.  </w:t>
        <w:br/>
        <w:t xml:space="preserve">Establishing a system for evaluating bids in the tenders in which the evaluation of the rates and number of trips offered does not account for less than two-thirds of the total (for example, 45% and 25% respectively) in order to ensure real competition.  </w:t>
        <w:br/>
        <w:t xml:space="preserve">1  </w:t>
        <w:br/>
        <w:t xml:space="preserve">Ex officio or at the request of a party, the establishment of new direct services that are deemed convenient for the public interest and that of the users, proceeding to transparently tender their award.  </w:t>
        <w:br/>
        <w:t xml:space="preserve">Prohibition of incorporating new traffic into current concessions without first verifying the viability of their independent operation, in which case the corresponding public tender for their award must be conducted.  </w:t>
        <w:br/>
        <w:t xml:space="preserve">Prohibition of generalized extensions of the terms of current concessions.  </w:t>
        <w:br/>
        <w:t xml:space="preserve">General or case-by-case review of the points where the preference of current concessionaires, as provided by the LOTT and quantified in Article 73.3 of the ROTT, should be specified to resolve ties in their offers with others that deserve similar consideration, so that the preference occurs only in that case. In any case, the applicable preference must be quantified and not qualitative.”  </w:t>
        <w:br/>
        <w:t xml:space="preserve">2. On November 7, 2008, a new document was received in the DI from GLOBALIA, reporting on the calling by the Ministry of Development of several tenders for the renewal of permanent regular public transport concessions for general use. In this document, GLOBALIA considers that the terms of the aforementioned agreements conform, with some irrelevant variation, to the aforementioned Protocol of April 24, 2007, thus ignoring the recommendations made by the CNC in its “Report on competition in intercity passenger transport by bus in Spain” of 2008. Therefore, GLOBALIA concludes by requesting that the CNC proceed, if it deems it appropriate, to:  </w:t>
        <w:br/>
        <w:t xml:space="preserve">“Appeal the terms of the tenders called by the DGTC through resolutions dated October 22, 2008, under the provisions of Article 12.3 of Law 15/2007, of July 3, on the Defense of Competition.  </w:t>
        <w:br/>
        <w:t xml:space="preserve">Adopt the measures that may be appropriate under the aforementioned legal framework, to annul the resolutions of the DGTC by which the nine tenders already called prior to the publication of the repeatedly cited CNC Report are called and that are pending express resolution by the competent bodies of the Ministry of Development regarding the appeals filed by the association ANETRA before them.”  </w:t>
        <w:br/>
        <w:t xml:space="preserve">3. In September 2008, the CNC published the “Report on competition in intercity passenger transport by bus in Spain,” which analyzes in detail the so-called “Support Protocol for establishing the criteria for the tenders of public service concessions for regular and general use passengers, under the jurisdiction of the Ministry of Development, expiring from 2007,” dated April 24, 2007. In this report, the CNC proposes certain improvements aimed at eliminating the obstacles to the existence of effective competition in the bidding for bus lines, arising from the design of the selection criteria used in the bidding terms of the tenders according to the aforementioned Protocol.  </w:t>
        <w:br/>
        <w:t xml:space="preserve">4. Subsequently, on March 10, 2010, the CNC published the “Monitoring Report on the process of renewing state concessions for intercity passenger transport by bus,” in which the changes introduced by the Ministry of Development in the aforementioned Protocol and in the subsequent terms are evaluated, as well as the development and outcome of the competitions held and awarded by the Directorate General of Land Transport until the end of 2009. Thus, regarding the modifications introduced in the Protocol, the CNC considers that the terms of the competitions designed according to the modified version of the Protocol remain highly unsatisfactory from a competition standpoint, and evidence of this is the outcome of the competitions called in the period 2007-2009: In all competitions where the previous concessionaire submitted a bid for the new tender, they emerged as the winner, and in the only competition where the previous concessionaire did not achieve the highest evaluation, the difference between the highest-rated bid and the bid of the former holder was less than the established similarity threshold in the regulations. In the rest of the competitions, had it been necessary, this right would have certainly sufficed for the former concessionaire to renew the concession, since, except in one of them (a concession for which the former concessionaire did not submit a bid), the maximum difference between the highest-rated bid and the next was 2 points.  </w:t>
        <w:br/>
        <w:t xml:space="preserve">For all these reasons, with a view to the renewal of the bulk of the concession tenders in the scope of the Ministry of Development, which will take place from 2012 onwards, and to enhance the competition in these tenders, the CNC proposes in this Monitoring Report that a new in-depth modification of the aforementioned Protocol be carried out, following the recommendations of the 2008 Report, namely:  </w:t>
        <w:br/>
        <w:t xml:space="preserve">“1. The elimination of the LOTT of the current right of preference in favor of the current concessionaire in case of similarity of offers with a competitor in the new tender.  </w:t>
        <w:br/>
        <w:t xml:space="preserve">2. The granting of a greater relative weight to the two main consumer decision variables, fare and service frequencies, especially to the former.  </w:t>
        <w:br/>
        <w:t xml:space="preserve">3. The modification of the existing cap mechanism when granting the maximum score in relation to the aforementioned criteria of fare and frequencies.  </w:t>
        <w:br/>
        <w:t xml:space="preserve">4. The respect of the duration periods of the concessions to the maximum general provisions of Community Regulation 1370/2007, as well as their modulation based on the amortization of the necessary investments to develop the activity.”  </w:t>
        <w:br/>
        <w:t xml:space="preserve">5. Throughout 2009, GLOBALIA has filed a contentious-administrative appeal against the resolutions calling for several tenders for regular public transport of passengers by road, in which the CNC has provided, as documentary evidence, a report on the obstacles to competition generated by the criteria used in the terms of the tenders prepared within the framework of the 2007 Protocol and its modification of 2008.  </w:t>
        <w:br/>
        <w:t xml:space="preserve">6. On July 19, 2010, in accordance with the provisions of Article 49.3 of the LDC, the DI submitted to this Council of the CNC a proposal to file the actions taken in the reference file.  </w:t>
        <w:br/>
        <w:t xml:space="preserve">7. The Council of the National Competition Commission deliberated and ruled this Resolution in its meeting of September 29, 2010.  </w:t>
        <w:br/>
        <w:t xml:space="preserve">LEGAL GROUNDS  </w:t>
        <w:br/>
        <w:t>3</w:t>
      </w:r>
    </w:p>
    <w:p>
      <w:r>
        <w:rPr>
          <w:b/>
        </w:rPr>
        <w:t>[Pages 4–5]</w:t>
      </w:r>
    </w:p>
    <w:p>
      <w:r>
        <w:t>First.- Article 49.1 of the LDC stipulates that the DI will initiate sanctioning proceedings when it observes rational indications of the existence of prohibited conduct as outlined in articles 1, 2, and 3 of the Law. In paragraph 3 of the same legal provision, it is added that the Council, upon the proposal of the DI, will decide not to initiate sanctioning proceedings and, consequently, to file the actions taken when it considers that there are no indications of infringement. The DI, citing the aforementioned article 49.3 of the LDC, proposes to this Council the filing of the case. Therefore, the purpose of this Resolution is to determine whether the information available in this file of reserved actions, which is considered sufficient, indicates the existence of prohibited conduct by the LDC that would justify the initiation of a sanctioning file or, conversely, the filing of the reserved actions taken. The Council considers that the writings submitted by the complainant to the DI pertain to administrative actions that do not conform to any of the illicit acts prohibited by the LDC, and this is expressly acknowledged by GLOBALIA when it urges the CNC to exercise the legitimization instrument provided for in Article 12.3 of the LDC. Therefore, as there are no indications of restrictive practices prohibited by the Law on the Defense of Competition, the Council considers the Proposal for Filing of the reserved actions taken in the framework of file S/0063/08 to be legally appropriate. Second.- As is evident from the Background Facts 3 to 4 of this Resolution, before and after the writings from GLOBALIA that prompted this file of reserved actions, and within the framework of the powers recognized to it by the LDC regarding the regulatory activity of Public Administrations, the CNC has acted proactively by informing the competent Ministry of the restrictive effects of its regulatory intervention in the considered market, proposing what modifications are necessary to eliminate such effects, and it will continue to do so in the future through the various legal instruments permitted by the Law. In light of the above, and considering the cited provisions and those of general application, the Council of the National Competition Commission. HAS RESOLVED UNIQUE.- Not to initiate sanctioning proceedings and to file the reserved actions taken as a result of the writings submitted by GLOBALIA AUTOCARES, S.A., for not appreciating indications of infringement of the Law on the Defense of Competition. Communicate this Resolution to the Directorate of Investigation and notify the complainant and GLOBALIA AUTOCARES S.A., informing them that this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