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https://www.cnmc.es/expedientes/s006808</w:t>
      </w:r>
    </w:p>
    <w:p>
      <w:r>
        <w:t>Pages translated : 3</w:t>
      </w:r>
    </w:p>
    <w:p/>
    <w:p>
      <w:r>
        <w:rPr>
          <w:b/>
        </w:rPr>
        <w:t>[Pages 1–3]</w:t>
      </w:r>
    </w:p>
    <w:p>
      <w:r>
        <w:t xml:space="preserve">RESOLUTION (File S/0068/08, HORMIGONES DE CANTABRIA 2)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Maria Jesús González López, Councilor  </w:t>
        <w:br/>
        <w:t xml:space="preserve">Ms. Inmaculada Gutiérrez Carrizo, Councilor  </w:t>
        <w:br/>
        <w:t xml:space="preserve">In Madrid, on November 10, 2008  </w:t>
        <w:br/>
        <w:t xml:space="preserve">The Council of the National Competition Commission (hereinafter also referred to as the Council), with the composition stated above, has issued the following Resolution in File S/0068/08, Hormigones de Cantabria 2, within the framework of the preliminary proceedings for a possible opening of a file for an alleged infringement of Article 1 of Law 16/1989, of July 17, on the Defense of Competition, which allowed the obtaining of certain information related to a possible collusive behavior in certain public tenders in the years 2001 and 2002.  </w:t>
        <w:br/>
        <w:t xml:space="preserve">FACTUAL BACKGROUND  </w:t>
        <w:br/>
        <w:t xml:space="preserve">1. On March 28, 2008, by means of a ruling and in order to carry out an analysis within the framework of a different file, the CNC deduces testimony and constitutes a separate file with a set of documents obtained during the inspection carried out at the company Fernández Rosillo y Cía., S.L. – pages 3 to 9 of the File – as a result of the inspection conducted at its headquarters on June 27, 2006, which stemmed from the opening of proceedings by the Competition Defense Service upon becoming aware of alleged prohibited conduct under Article 1 of the LDC consisting of the continuous maintenance of a cartel by concrete mixing companies in Cantabria. The specific documents from which testimony is deduced relate to alleged agreements between competitors to submit bids for certain public works tenders.  </w:t>
        <w:br/>
        <w:t xml:space="preserve">2. On October 2, 2008, the Directorate of Investigation requests the Subdirectorate of Contractor Classification and Contract Registration of the Ministry of Economy and Finance to provide information on the contracts recorded in the Public Contract Registry of that Ministry related to public works tenders where the contracting entity was the Government of Cantabria or a local entity of that community.  </w:t>
        <w:br/>
        <w:t xml:space="preserve">3. On October 9, 2008, the DI receives a response to the requested information.  </w:t>
        <w:br/>
        <w:t xml:space="preserve">4. On October 20, 2008, the DI proposes to the CNC Council the "non-initiation of the sanctioning procedure, as well as the filing of the actions followed ex officio as a result of the separate file constituted by the documents from file 2793/07 and from which testimony was deduced, considering that the alleged infringement, if it occurred, has expired."  </w:t>
        <w:br/>
        <w:t xml:space="preserve">5. On November 5, 2008, the CNC Council deliberated and ruled this Resolution.  </w:t>
        <w:br/>
        <w:t xml:space="preserve">LEGAL GROUNDS  </w:t>
        <w:br/>
        <w:t xml:space="preserve">SOLE. As indicated by the Directorate of Investigation, within the framework of the preliminary proceedings for the opening of file No. 2793/07, relating to possible agreements and practices of economic operators in the market for ready-mixed concrete in Cantabria, the Competition Defense Service conducted an inspection at the company FERNÁNDEZ ROSILLO Y CIA, S.L. and obtained a set of documents, some of which were related to the specific issue of possible agreements between competitors in the bidding for public works in the Autonomous Community of Cantabria. Specifically, and according to what was observed by the Directorate of Investigation, the analysis of those documents revealed a pattern of collusive behavior among different economic operators in different public tenders, such that the bid that obtained the award was 1% lower than the starting price, with the other bidders offering at an intermediate price between the starting price and the final awarded price.  </w:t>
        <w:br/>
        <w:t xml:space="preserve">However, the documents that could substantiate a factual basis with which to attribute a possible infringement of the LDC were dated in the years 2001 and 2002, so that, in accordance with Article 12 of Law 16/1989, on the Defense of Competition (or, if more favorable, Article 68 of Law 15/2007, of July 3, on the Defense of Competition), only a continued practice after that of the documents would prevent an agreement to file due to the expiration of the conduct, at least in the specific jurisdiction of competition defense.  </w:t>
        <w:br/>
        <w:t xml:space="preserve">Consequently, the DI requested from the Ministry of Economy, through its Public Contract Registry, the results of the tenders for public works in Cantabria in the subsequent years that had any relation to the companies appearing in the documents obtained from the company FERNÁNDEZ ROSILLO Y CIA, S.L. With this information, the DI conducted a data analysis and concluded that the behavior of the awardees in these tenders did not follow in later dates the specific pattern of behavior that was observed in the documents obtained. Therefore, it cannot be confirmed that there was a continued and conclusive same pattern from which to deduce the existence also of an alleged continued agreement for market sharing in public works in Cantabria.  </w:t>
        <w:br/>
        <w:t xml:space="preserve">The Council agrees with the Directorate of Investigation that, since the analysis carried out of the award prices of these contracts, in relation to the starting prices in the bidding, does not allow concluding a continuation of the same pattern of behavior that had been detected in the documents obtained during the investigation, this Council decides to confirm the Proposal for Filing from the Directorate of Investigation.  </w:t>
        <w:br/>
        <w:t xml:space="preserve">In view of the cited legal provisions and those of general application, the Council HAS RESOLVED  </w:t>
        <w:br/>
        <w:t xml:space="preserve">Sole. To confirm the Proposal of the Directorate of Investigation of the CNC to this Council for the non-initiation of the sanctioning procedure and, consequently, to file the actions considering that the alleged infringement has expired.  </w:t>
        <w:br/>
        <w:t>This Resolution shall be communicated to the Directorate of Investigation of the National Competition Commission and notified to the company FERNÁNDEZ ROSILLO Y CIA, S.L., informing them that there is no administrative appeal against it, and that they may file a contentious-administrative appeal before the National Court within two months from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