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https://www.cnmc.es/expedientes/s007008</w:t>
      </w:r>
    </w:p>
    <w:p>
      <w:r>
        <w:t>Pages translated : 4</w:t>
      </w:r>
    </w:p>
    <w:p/>
    <w:p>
      <w:r>
        <w:rPr>
          <w:b/>
        </w:rPr>
        <w:t>[Pages 1–3]</w:t>
      </w:r>
    </w:p>
    <w:p>
      <w:r>
        <w:t xml:space="preserve">RESOLUTION  </w:t>
        <w:br/>
        <w:t xml:space="preserve">Expte. S/0070/08 ANCOPEL  </w:t>
        <w:br/>
        <w:t xml:space="preserve">COUNCIL  </w:t>
        <w:br/>
        <w:t xml:space="preserve">Mr. Luís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March 5, 2010  </w:t>
        <w:br/>
        <w:t>The Council of the National Competition Commission (CNC), with the composition stated above, has issued the following resolution in Expte. S/0070/08 ANCOPEL processed as a result of the complaint filed by Ms. MARÍA CONCEPCIÓN FERNÁNDEZ MARTÍN against AUTOMÓVILES TORRELAVEGA, S.L., dealer of the manufacturer Opel in CARTES (CANTABRIA), for alleged restrictive competition practices.</w:t>
      </w:r>
    </w:p>
    <w:p>
      <w:r>
        <w:t xml:space="preserve">FACTUAL BACKGROUND  </w:t>
        <w:br/>
        <w:t xml:space="preserve">1. On April 1, 2008, a written complaint from Ms. MARÍA CONCEPCIÓN FERNÁNDEZ MARTÍN was received by the Directorate of Investigation of the National Competition Commission (CNC), in which she denounced AUTOMÓVILES TORRELAVEGA, S.L., dealer of the manufacturer Opel in CARTES (CANTABRIA), for alleged restrictive competition practices.  </w:t>
        <w:br/>
        <w:t xml:space="preserve">2. In order to ascertain the reality of the facts as much as possible to determine whether there were indications of infringement, the Directorate of Investigation, in accordance with the provisions of Article 49.2 of Law 15/2007, of July 3, on the Defense of Competition, agreed to carry out a reserved inquiry. In this framework, it requested information, among others, from the complainant herself, the accused, ANCOPEL, and OPEL ESPAÑA S.L.  </w:t>
        <w:br/>
        <w:t>3. The information gathered from all these requests allows for certain conclusions regarding the reported facts and the context in which they occur, which are included in the proposal of the Directorate of Investigation and substantiate it: The complainant, Ms. María Concepción Fernández Martín, is the owner of an OPEL vehicle. The accused, AUTOMÓVILES TORRELAVEGA, S.L., is an OPEL dealer, affiliated with ANCOPEL and a selling agent of certain insurance extension policies promoted by ANCOPEL. ANCOPEL (NATIONAL ASSOCIATION OF OPEL DEALERS) was established in 1983 with the fundamental purpose of representing, managing, defending, and promoting the interests of its members. The complainant states that when she went to that dealership on March 10, 2008, to have her vehicle repaired, she was not recognized for the additional two-year warranty she had contracted, supplementary to the usual two-year warranty for all new vehicles, because she had not performed the annual maintenance at workshops within the official OPEL network. This supplementary warranty to the mandatory two-year warranty is implemented through a warranty insurance contract (ANCOPEL+2 ALL RISK and ANCOPEL+2 BASIC), whose origins and conditions are described below: ANCOPEL, without the participation of the manufacturer OPEL, approved, in its meeting of June 4, 2003 (folio 98), the creation of an additional warranty, of which the buyer of the vehicle is the holder and the dealer is the guarantor. This is not a warranty required by law, but one that is voluntarily and freely contracted by the consumer, generally at the time of purchasing the vehicle, by signing an additional contract with the dealer selling it. At that moment of purchasing the vehicle, the buyer accepts the clauses of the extended warranty contract. To ensure the risk assumed by the dealers, ANCO CENTRAL DE COMPRAS, S.L., a company whose sole partner is ANCOPEL, subscribes with an insurance entity a contract of insurance (policies ANCOPEL+2 ALL RISK and ANCOPEL+2 BASIC) under which the dealers of the ANCOPEL network that voluntarily adhere to the insurance contract are insured, and whose purpose is to indemnify the insured for the amount of repairs carried out on the vehicles as a result of the aforementioned additional warranty. The reason for creating this additional warranty backed by these policies is explained in the minutes of the assemblies that ANCOPEL held in the years 2004, 2005, 2006, and 2007 (folios 109 to 121). In these minutes, it is specified that the age of the OPEL vehicle fleet meant that only 25% of the vehicles had a manufacturer's warranty, while 72.1% no longer had any warranty (folio 117). This meant that a large part of the after-sales services of the fleet was subject to competition from independent workshops and that, in fact, there was little loyalty to the official network for repairs of vehicles older than three years. Therefore, at the assembly in June 2005, it was concluded that "...the best way to increase loyalty was to launch a 2+ warranty" (folio 112). Both the ANCOPEL +2 ALL RISK policy and the ANCOPEL +2 BASIC policy prescribe as mandatory the performance of maintenance at authorized workshops. Likewise, regarding claims, and as explicitly stated for the ANCOPEL +2 ALL RISK Policy, in its annex 3 of the Guide for processing the breakdown, included in the warranty insurance policy (folio 51), it is prescribed that "...the owner of the vehicle must, whenever possible, go to the selling dealer of the vehicle. In case it is not possible due to distance, he may go to another OPEL brand dealer and act as indicated." In this way, the ANCOPEL +2 ALL RISK policy extends its possible loyalty effects to the entire OPEL network, regardless of the number of dealers that offer and sell this policy.</w:t>
      </w:r>
    </w:p>
    <w:p>
      <w:r>
        <w:t xml:space="preserve">According to ANCOPEL (folio 93), this Association comprises 162 OPEL dealers out of a total of 175 dealers of this brand. Among its members, 113 distribute the ANCOPEL+2 ALL RISK policy and 14 do the same with respect to the ANCOPEL+2 BASIC policy. The ANCOPEL +2 ALL RISK policy is a product offered by 69.75% of ANCOPEL's total members, which represents 64.57% of the total OPEL brand dealers. On the demand side, it is freely acquired by those buyers who wish to do so, specifically a minimum of 18.48% of the OPEL vehicles sold in 2008, having reached a maximum of 29.69% of the same magnitude in 2006. Meanwhile, the ANCOPEL +2 BASIC policy is a product offered by 8.64% of ANCOPEL's members, 8% of the total OPEL dealers. Sales of vehicles with this policy reached 1.5% of the total vehicles sold of the brand in 2008. Regarding the total number of vehicles registered each year in the market, the share of the OPEL brand has fluctuated from 6.91% in 2005 to 7.11% in 2006, falling to 6.17% in 2008. Thus, regarding the total number of vehicles of all brands sold and registered each year, those sold with the ANCOPEL +2 BASIC and/or ANCOPEL +2 ALL RISK policies represent a proportion that fluctuates from 1.29% in 2005 to 1.23% in 2008, after reaching a maximum of 2.13% in 2006.  </w:t>
        <w:br/>
        <w:t>4. According to the complainant, the dealer AUTOMÓVILES TORRELAVEGA, S.L. would have violated Regulation (EC) 1400/2002 of the Commission, of July 31, 2002, regarding the application of paragraph 3 of Article 81 of the EC Treaty to certain categories of vertical agreements and concerted practices in the motor vehicle sector between agents located at different levels of the value chain. The Directorate of Investigation, on the other hand, states that Regulation (EC) 1400/2002 does not contain any provisions regarding the warranty extension agreements analyzed here. It adds that the extended warranty analyzed in this case originates from a horizontal agreement between competitors situated at the same level in the value chain, the official repair workshops of the OPEL network associated within ANCOPEL. Therefore, the analysis of these agreements must be made, if applicable, in light of Article 1 of Law 15/2007 as a horizontal agreement between competitors. After evaluating this agreement, its implications, and the context in which it occurs, it concludes that we are dealing with a commercial policy instrument that does not present a restrictive character of competition, which benefits the consumer by facilitating repair and maintenance operations and that it is, in any case, a service whose subscription is voluntary for both the vehicle owner and the dealer. If we add to this the impact of these insurance policies on the network of official OPEL workshops, the weight of independent workshops in the repair of OPEL vehicles and their evolution, as well as the weight that the OPEL brand has on total sales and repairs of cars, it is concluded that these warranties do not have the effect of significantly obstructing the competition represented by independent workshops. In view of this, in its proposal submitted to the Council on February 23, 2010, the Directorate of Investigation considers that the agreement for the creation and marketing of the extended warranty by OPEL dealers would not be subject to the prohibition of Article 1.1 of the</w:t>
      </w:r>
    </w:p>
    <w:p>
      <w:r>
        <w:rPr>
          <w:b/>
        </w:rPr>
        <w:t>[Pages 4–4]</w:t>
      </w:r>
    </w:p>
    <w:p>
      <w:r>
        <w:t>LDC and that, in the event that Article 1.1 were applicable, it could meet the conditions of Article 1.3.</w:t>
      </w:r>
    </w:p>
    <w:p>
      <w:r>
        <w:t>Therefore, in accordance with the provisions of Article 49.3 of Law 15/2007, it proposes the non-initiation of the sanctioning procedure, as well as the filing of the proceedings, considering that there are no indications of a violation of the Law. All of this is without prejudice to the fact that if there is a bilateral conflict between the complainant and the workshop regarding the interpretation of the clauses of the extended warranty, it shall be resolved before the competent authority, which is not the CNC.</w:t>
      </w:r>
    </w:p>
    <w:p>
      <w:r>
        <w:t>5. The Council of the National Competition Commission deliberated and issued this Resolution in its meeting on March 4, 2010.</w:t>
      </w:r>
    </w:p>
    <w:p>
      <w:r>
        <w:t>LEGAL GROUNDS</w:t>
      </w:r>
    </w:p>
    <w:p>
      <w:r>
        <w:t>FIRST. The Council agrees with the DI that the complaint presented raises a conflict between parties regarding the additional warranty, of which the vehicle buyer is the holder and the dealer is the guarantor, which is external to Law 15/2007. All of this is without prejudice to the fact that other instances, if applicable, may understand the interpretation of the clauses of the extended warranty contract.</w:t>
      </w:r>
    </w:p>
    <w:p>
      <w:r>
        <w:t>This Council also understands that, as evidenced by the analysis carried out by the DI, the agreement for the creation and commercialization of the extended warranty reached within ANCOPEL and to which certain dealers of the OPEL network have adhered is not subject to Article 1.1 of Law 15/2007, as it does not have as its object or effect an obstruction of effective competition.</w:t>
      </w:r>
    </w:p>
    <w:p>
      <w:r>
        <w:t>For all the above reasons, the Council of the National Competition Commission</w:t>
      </w:r>
    </w:p>
    <w:p>
      <w:r>
        <w:t>RESOLVES</w:t>
      </w:r>
    </w:p>
    <w:p>
      <w:r>
        <w:t>SOLE: Not to initiate a sanctioning procedure and to file the proceedings followed as a result of the complaint filed by Ms. MARÍA CONCEPCIÓN FERNÁNDEZ MARTÍN against AUTOMÓVILES TORRELAVEGA, S.L., dealer of the manufacturer OPEL in CARTES (CANTABRIA), for alleged restrictive competition practices.</w:t>
      </w:r>
    </w:p>
    <w:p>
      <w:r>
        <w:t>Communicate this resolution to the Directorate of Investigation and notify the complainant and the defendant, as well as ANCOPEL, informing them that this concludes the administrative process, and that they may file a contentious-administrative appeal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