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https://www.cnmc.es/expedientes/s007308</w:t>
      </w:r>
    </w:p>
    <w:p>
      <w:r>
        <w:t>Pages translated : 7</w:t>
      </w:r>
    </w:p>
    <w:p/>
    <w:p>
      <w:r>
        <w:rPr>
          <w:b/>
        </w:rPr>
        <w:t>[Pages 1–3]</w:t>
      </w:r>
    </w:p>
    <w:p>
      <w:r>
        <w:t xml:space="preserve">RESOLUTION (Exp. S/0073/08, Burger King)  </w:t>
        <w:br/>
        <w:t xml:space="preserve">COUNCIL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 xml:space="preserve">In Madrid, on February 12, 2009  </w:t>
        <w:br/>
        <w:t xml:space="preserve">The Council of the National Competition Commission (hereinafter, Council), with the composition stated above, has issued the following Resolution in File S/0073/08, processed as a result of the complaint filed on February 24, 2008, by BOST GLOBAL SOFT, S.L. (hereinafter also GLOBAL) against the company BURGER KING ESPAÑA S.L.U. (hereinafter also Burger King or BK), for alleged conduct prohibited by Article 1 of Law 15/2007, of July 3, on the Defense of Competition (hereinafter also LDC), consisting of an agreement between BK and the approved software service providers for hospitality by that entity, which would imply, according to the complaint, a restriction, on one hand, of the freedom of franchisees to choose a provider and, on the other hand, of the software providers that have not been approved by BK to provide services to its franchisees.  </w:t>
        <w:br/>
        <w:t xml:space="preserve">FACTUAL BACKGROUND  </w:t>
        <w:br/>
        <w:t xml:space="preserve">1. On April 24, 2008, a letter from Global was received in the Investigation Directorate of the CNC (hereinafter also DI), in which a complaint was made against Burger King for alleged conduct prohibited by Article 1 of Law 15/2007, of July 3, on the Defense of Competition, consisting of an agreement between BK and the approved software service providers for hospitality by that entity, which implies a restriction, on one hand, of the freedom of franchisees to choose a provider and, on the other hand, of the software providers that have not been approved by BK to provide services to its franchisees.  </w:t>
        <w:br/>
        <w:t xml:space="preserve">In order to clarify the reported facts, the DI initiated a period of confidential information during which, on May 12, 2008, it requested information from BK about the point of sale (POS) system, the reasons for carrying out the approval process, the supplier selection process, and the reasons why GLOBAL's system was deemed unsuitable.  </w:t>
        <w:br/>
        <w:t xml:space="preserve">After analyzing the information gathered, the DI considers that "the immediate consequence of BK's decision to carry out the approval process has been the exclusion of GLOBAL from the set of approved providers by BK, for not meeting the required criteria; but not its expulsion from the provision of IT services, as GLOBAL itself states." Likewise, the DI points out that "the LDC does not pursue the defense of competitors but of competition. And as the complainant rightly states, its rivals in the provision of IT services are abundant and the competition, fierce." Furthermore, the DI has observed that "in the general supply conditions governing the relationships between BK and its suppliers, there is a clause whereby GLOBAL accepts that the approval of the Supplier may be withdrawn by BK at any time, with no other requirement than written notification to the Supplier [...]. This fact is also evident in the letter sent by BK to GLOBAL authorizing it as an accredited supplier." Ultimately, the DI considers that the relationships between GLOBAL and BK are broken because there is a "rejection of GLOBAL's approval by BK for not meeting the requirements established in the authorized supplier selection process," therefore it considers that the public interest is not affected and the matter is limited to the affecting of private interests that must be resolved in civil jurisdiction.  </w:t>
        <w:br/>
        <w:t xml:space="preserve">Regarding the franchise agreements, the DI recalls that "they may be exempt from the application of Article 1 or, where appropriate, Article 81 of the TFEU, under Regulation 2790/1999." In this sense, it observes that the applicability of the exemption is possible when "the supplier's share is below 30% and, furthermore, the conditions of Articles 4 and 5 are not met." Therefore, "from the reading of the franchise contract, it follows that it does not provide for determining the franchisee's sale price, nor restrict the territory in which the franchisee can sell its products, nor restrict active/passive sales to end users, nor restrict cross-supplies between distributors, nor, finally, restrict the supply of components, therefore, it does not comply with the provisions of Article 4.  </w:t>
        <w:br/>
        <w:t xml:space="preserve">Regarding Article 5, the restrictions that would lead to a withdrawal of the exemption refer to non-compete clauses or obligations that prohibit members of a selective distribution system from selling the brands of certain competing suppliers. The analyzed stipulations are also not included within this article.  </w:t>
        <w:br/>
        <w:t xml:space="preserve">As for the market share of the supplier, BK, as described in section III, in any of the three possible relevant markets analyzed by the community and Spanish competition authorities, the shares would be below that threshold. This means that the exemption of Regulation No. 2790/1999 could be applied to the franchise contract signed between BK and its franchisees."  </w:t>
        <w:br/>
        <w:t xml:space="preserve">The DI adds that "the new POS system adopted by BK can also generate efficiencies in the provision of restaurant services, improving the marketing of BK's products and facilitating innovation. Thus, the approval allows franchisees to benefit from the aggregated demand of the network, which translates into a lower cost of the new POS systems and lower expenses for updates. The new systems have greater functionality, offer better management of the financial movements of the franchisees, facilitate the management of work schedules, provide improved auditing functions, and are easier to use, which reduces the training cost of employees and increases customer service time.  </w:t>
        <w:br/>
        <w:t xml:space="preserve">In addition, it allows for the incorporation of future technologies and applications such as broadband, global identification, online training, or others without making large investments in adapting the POS systems of each of the franchisees."  </w:t>
        <w:br/>
        <w:t>3 / 7</w:t>
      </w:r>
    </w:p>
    <w:p>
      <w:r>
        <w:rPr>
          <w:b/>
        </w:rPr>
        <w:t>[Pages 4–6]</w:t>
      </w:r>
    </w:p>
    <w:p>
      <w:r>
        <w:t>For all these reasons, in accordance with the provisions of Article 49.3 of Law 15/2007, of July 3, on the Defense of Competition, the DI proposes to this Council "not to initiate the sanctioning procedure, as well as to file the proceedings followed as a result of the complaint filed by GLOBAL BOST SOFT, considering that there are no indications of infringement of the aforementioned Law."</w:t>
      </w:r>
    </w:p>
    <w:p>
      <w:r>
        <w:t>2. The CNC Council deliberated and decided on this Resolution in its meeting on February 4, 2008.</w:t>
      </w:r>
    </w:p>
    <w:p>
      <w:r>
        <w:t>LEGAL BASIS</w:t>
      </w:r>
    </w:p>
    <w:p>
      <w:r>
        <w:t>SOLE. The purpose of this Resolution is to determine the scope of the facts reported to the CNC by BOST GLOBAL SOFT, S.L. against BURGER KING ESPAÑA S.L.U., for alleged conduct prohibited by Article 1 of Law 15/2007, of July 3, on the Defense of Competition (LDC), consisting of an agreement between BK and the global providers of software services for hospitality approved by that entity, which implies a restriction, on one hand, of the freedom of franchisees to choose a provider and, on the other, of the software providers that have not been approved by BK to provide services to its franchisees, as detailed in the Background Facts.</w:t>
      </w:r>
    </w:p>
    <w:p>
      <w:r>
        <w:t>According to the complainant, Burger King has followed a new approval process for software service providers, reaching new vertical agreements with the finally approved providers, which have discriminated against Global in that selection, in addition to a change in the clauses of the contracts with its franchisees that would be violating Spanish competition law, to the extent that the new agreements would be aimed at "controlling the computer systems of the franchisees" and "restricting the freedom of the franchisees to contract these services."</w:t>
      </w:r>
    </w:p>
    <w:p>
      <w:r>
        <w:t>The Council agrees with the DI's assessment when it states that Burger King's refusal to approve Global as a global provider of IT services corresponds to civil law and not to competition law jurisdiction. Firstly, although Global has lost a good client, it has also been able to continue offering its services in the software market, as it has pointed out itself. Furthermore, the process of selecting global providers by Burger King, both its characteristics and the technical and service delivery requirements, have been duly communicated to Global so that it had the opportunity to be approved, and only the failure to meet some of those requirements, explained and justified by the client, has prevented that approval. In any case, it does not seem that the competitive order is at stake when a company, of which there are no indications of market power either in the supply of software or in the fast food markets, selects the set of providers most suitable to its own characteristics and business objectives, according to advertised and duly anticipated criteria.</w:t>
      </w:r>
    </w:p>
    <w:p>
      <w:r>
        <w:t>On the other hand, the Council also agrees with the DI in its assessment that the new global approval system for software providers followed by Burger King complies with Regulation (EC) 2790/1999 of the Commission, of December 22, 1999, regarding the application of paragraph 3 of Article 81 of the EC Treaty to certain categories of vertical agreements and concerted practices. On one hand, the market shares in the three markets defined for this franchisor in other files (N-06046, Vidisco/TelePizza), namely, informal dining, quick service, and take away, are below what is required. On the other hand, the other requirements of the Regulation to maintain the exemption are also not violated, as developed by the DI and analyzed, as stated in the Background Facts.</w:t>
      </w:r>
    </w:p>
    <w:p>
      <w:r>
        <w:t>As the DI rightly points out, the approval process for POS system providers will allow franchisees to access better business management technologies and potential improvements in costs and, therefore, possible margin gains in the business. In markets such as those mentioned, where the level of effective inter-brand competition does not seem to be questioned, this argument aligns with what the former Competition Defense Tribunal stated in its Resolution of File r 621/04, Tele Pizza, when it indicated that "the reasons for not emphasizing the anti-competitive effects of a vertical restriction within the brand are supported by the idea of being able to produce a significant reduction in information costs when a high uniformity in the product is generated, precisely fostered by the vertical agreement within the brand. Furthermore, it is recognized that there is a reduction in operational costs and in market integration costs, all derived from this type of restrictive agreement. All of which can be very beneficial for the final consumer."</w:t>
      </w:r>
    </w:p>
    <w:p>
      <w:r>
        <w:t>It should also not be forgotten that the obligation of franchisees to contract with one of those approved providers is a substantive part of the franchise contracts, to the extent that the franchisor ensures that franchisees adhere to the approved management and planning systems of the business under the Burger King brand. The former Competition Defense Tribunal indicated in the Resolution of File r 642/05, Franchisees Stationery, that the obligation of the franchisee to exclusively source certain products that the franchisor provides to the franchisee for the development of the business "is based on the protection of industrial property rights with the aim of maintaining the common identity, reputation, and quality of the franchise network itself." Furthermore, considering that in the present case franchisees have the freedom to contract with several global software service providers that meet all the requirements imposed by the franchisor, and that the franchisor itself assumes adaptation periods to the new systems and new providers sufficiently justified in form and time.</w:t>
      </w:r>
    </w:p>
    <w:p>
      <w:r>
        <w:t>In short, the Council considers that the DI's proposal to file the complaint by Global against Burger King has been sufficiently substantiated, so this Council can only confirm the filing of the complaint.</w:t>
      </w:r>
    </w:p>
    <w:p>
      <w:r>
        <w:t>In view of the cited provisions and those of general application, the Council of the National Competition Commission</w:t>
      </w:r>
    </w:p>
    <w:p>
      <w:r>
        <w:t>HAS RESOLVED</w:t>
      </w:r>
    </w:p>
    <w:p>
      <w:r>
        <w:t>Sole. To file the complaint filed by BOST GLOBAL SOFT, S.L. against BURGER KING ESPAÑA S.L.U., for alleged conduct prohibited by Article 1 of Law 15/2007, of July 3, on the Defense of Competition (LDC).</w:t>
      </w:r>
    </w:p>
    <w:p>
      <w:r>
        <w:rPr>
          <w:b/>
        </w:rPr>
        <w:t>[Pages 7–7]</w:t>
      </w:r>
    </w:p>
    <w:p>
      <w:r>
        <w:t>Communicate this Resolution to the Directorate of Investigation of the National Competition Commission and notify BOST GLOBAL SOFT, S.L. and BURGER KING ESPAÑA S.L.U., informing them that there is no administrative appeal against it, and that they may file a contentious-administrative appeal before the National Court within two months from the notification of this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