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https://www.cnmc.es/expedientes/s007408</w:t>
      </w:r>
    </w:p>
    <w:p>
      <w:r>
        <w:t>Pages translated : 3</w:t>
      </w:r>
    </w:p>
    <w:p/>
    <w:p>
      <w:r>
        <w:rPr>
          <w:b/>
        </w:rPr>
        <w:t>[Pages 1–3]</w:t>
      </w:r>
    </w:p>
    <w:p>
      <w:r>
        <w:t xml:space="preserve">RESOLUTION (Exp. S/0074/08, College of Architects of Asturias)  </w:t>
        <w:br/>
        <w:t xml:space="preserve">Council:  </w:t>
        <w:br/>
        <w:t xml:space="preserve">Mr. Luis Berenguer Fuster, President  </w:t>
        <w:br/>
        <w:t xml:space="preserve">Mr. Fernando Torremocha y García-Sáenz, Vice President  </w:t>
        <w:br/>
        <w:t xml:space="preserve">Mr. Miguel Cuerdo Mir, Councilor  </w:t>
        <w:br/>
        <w:t xml:space="preserve">Ms. Pilar Sánchez Núñez, Councilor  </w:t>
        <w:br/>
        <w:t xml:space="preserve">Mr. Julio Costas Comesaña, Councilor  </w:t>
        <w:br/>
        <w:t xml:space="preserve">Ms. María Jesús González López, Councilor  </w:t>
        <w:br/>
        <w:t xml:space="preserve">Ms. Inmaculada Gutiérrez Carrizo, Councilor  </w:t>
        <w:br/>
        <w:t xml:space="preserve">Madrid, October 21, 2008  </w:t>
        <w:br/>
        <w:t xml:space="preserve">The Council of the National Competition Commission (CNC), with the composition expressed above and with Councilor Rapporteur Mr. Julio Costas Comesaña, has issued the following Resolution in File S/0074/08, College of Architects of Asturias, processed by the Directorate of Investigation of the CNC as a result of the complaint filed by (…), on behalf of (…), against the Illustrious College of Architects of Asturias, for alleged conduct prohibited by Law 15/2007, of July 3, on the Defense of Competition (LDC).  </w:t>
        <w:br/>
        <w:t xml:space="preserve">FACTUAL BACKGROUND  </w:t>
        <w:br/>
        <w:t xml:space="preserve">1.- On May 12, 2008, a complaint was received at the CNC from (…), on behalf of (…), against the Illustrious College of Architects of Asturias for violation of the LDC, consisting of the denial of the visa for a project due to the modification of an initial project by another architect, conditioning it to the submission of the resignation of the previous one. In particular, the complainant states that he initially hired the architect (…) and, as his work did not meet the requirements set by the City Council to grant him the use and occupancy license, finding him untraceable and after having paid for his services, he proceeded to replace him with (…), but the College of Architects of Asturias denied the visa for this new project, thus halting the development of the work.  </w:t>
        <w:br/>
        <w:t xml:space="preserve">2.- After conducting various reserved information proceedings, consisting of requesting information from the complainant and the reported College aimed at proving and clarifying the facts, on July 31, 2008, the Directorate of Investigation, in accordance with the provisions of art. 49.3 LDC, submitted to this Council a Proposal for non-initiation of sanctioning proceedings and filing of the actions carried out, based on the fact that:  </w:t>
        <w:br/>
        <w:t xml:space="preserve">"The complainant does not provide any evidence of the reported practice, nor does he even provide documentary evidence proving the denial of the visa for the project that modified the one initially submitted to the COAA. For its part, the COAA denies having denied the visa for the project contracted by the complainant and claims not to have denied visas for change of architect in the last three years. This Directorate therefore lacks evidence of the alleged infringement, being unable to verify the reported facts."  </w:t>
        <w:br/>
        <w:t xml:space="preserve">3.- The Council of the National Competition Commission deliberated and ruled this Resolution in its meeting on October 15, 2008.  </w:t>
        <w:br/>
        <w:t xml:space="preserve">LEGAL GROUNDS  </w:t>
        <w:br/>
        <w:t xml:space="preserve">First.- Number 3 of article 49 LDC provides that the Council of the CNC, at the proposal of the Directorate of Investigation, may agree not to initiate sanctioning proceedings for the alleged commission of the prohibited conducts in articles 1, 2, and 3 of the Law and, consequently, the filing of the actions carried out by the Directorate of Investigation, when it considers that there are no rational indications of infringement of the conducts prohibited by the LDC.  </w:t>
        <w:br/>
        <w:t xml:space="preserve">Second.- Article 25.5 of RD 261/2008, of February 22, which approves the Regulation on the Defense of Competition, provides that the formulation in the form of a complaint does not bind the Directorate of Investigation to initiate the sanctioning procedure. In this case, considering the complaint, the preliminary actions carried out and their result, as well as the Proposal of the Directorate of Investigation (art. 27 of RD 261/2008), the Council of the National Competition Commission considers, on the one hand, the preliminary actions carried out by the instruction to be sufficient and, on the other hand, that the complainant (despite being requested to do so) has not been able to prove the very existence of the reported facts (denial of visa for change of architect) and the reported party claims that it has not denied any visa in the last three years for change of architect. Consequently, in the absence of evidence of the facts subject to the complaint, the Council agrees with the Directorate of Investigation that no legal assessment of them is warranted under competition defense legislation, and therefore the Proposal made to this Council to not initiate sanctioning proceedings and to file the preliminary actions carried out is legally justified.  </w:t>
        <w:br/>
        <w:t xml:space="preserve">Consequently, in light of the cited provisions and those of general application, the Council of the National Competition Commission  </w:t>
        <w:br/>
        <w:t xml:space="preserve">HAS RESOLVED  </w:t>
        <w:br/>
        <w:t xml:space="preserve">SOLE.- Not to initiate sanctioning proceedings and to file the actions followed by the Directorate of Investigation as a result of the complaint filed by (…), on behalf of (…), against the Illustrious College of Architects of Asturias for lack of evidence of the reported facts.  </w:t>
        <w:br/>
        <w:t>This Resolution shall be communicated to the Directorate of Investigation and notified to the complainant and the reported party, informing them that it concludes the administrative route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