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https://www.cnmc.es/expedientes/s008108</w:t>
      </w:r>
    </w:p>
    <w:p>
      <w:r>
        <w:t>Pages translated : 18</w:t>
      </w:r>
    </w:p>
    <w:p/>
    <w:p>
      <w:r>
        <w:rPr>
          <w:b/>
        </w:rPr>
        <w:t>[Pages 1–3]</w:t>
      </w:r>
    </w:p>
    <w:p>
      <w:r>
        <w:t xml:space="preserve">RESOLUTION  </w:t>
        <w:br/>
        <w:t xml:space="preserve">(File S/0081/2008 FEMP/AON GIL Y CARVAJAL Insurance Brokerage)  </w:t>
        <w:br/>
        <w:t xml:space="preserve">Council  </w:t>
        <w:br/>
        <w:t xml:space="preserve">Mr. Luis Berenguer Fuster, President  </w:t>
        <w:br/>
        <w:t xml:space="preserve">Mr. Fernando Torremocha García-Sáenz, Vice President  </w:t>
        <w:br/>
        <w:t xml:space="preserve">Mr. Emilio Conde Fernández-Oliva, Councilor  </w:t>
        <w:br/>
        <w:t xml:space="preserve">Mr. Miguel Cuerdo Mir, Councilor  </w:t>
        <w:br/>
        <w:t xml:space="preserve">Ms. Pilar Sánchez Núñez, Councilor  </w:t>
        <w:br/>
        <w:t xml:space="preserve">Mr. Julio Costas Comesaña, Councilor  </w:t>
        <w:br/>
        <w:t xml:space="preserve">Ms. Mª. Jesús González López, Councilor  </w:t>
        <w:br/>
        <w:t xml:space="preserve">Ms. Inmaculada Gutiérrez Carrizo, Councilor  </w:t>
        <w:br/>
        <w:t xml:space="preserve">In Madrid, on July 10, 2009  </w:t>
        <w:br/>
        <w:t xml:space="preserve">THE PLENARY of the Council of the National Competition Commission, with the composition expressed in the margin, being the Rapporteur Mr. Councilor Don Fernando Torremocha y García-Sáenz, has issued a Resolution in the Sanctioning File S/0081/2008 by virtue of the complaint filed by MUÑIZ Y ASOCIADOS, Insurance Brokerage SL., against the Spanish Federation of Municipalities and Provinces (FEMP) and Aon Gil y Carvajal SA., Insurance Brokerage.  </w:t>
        <w:br/>
        <w:t xml:space="preserve">FACTUAL BACKGROUND  </w:t>
        <w:br/>
        <w:t xml:space="preserve">FIRST.- MUÑIZ Y ASOCIADOS, Insurance Brokerage SL., on June 2, 2008, submitted a written complaint to the Competition Defense Tribunal, which was received the following day, June 3, and registered under number 2521 (Pages 1 and following).  </w:t>
        <w:br/>
        <w:t xml:space="preserve">In it, the Spanish Federation of Municipalities and Provinces (FEMP) and AON GIL Y CARVAJAL SA., Insurance Brokerage, were reported for having signed an Agreement for the provision to the affiliated local corporations of a Risk and Insurance service.  </w:t>
        <w:br/>
        <w:t xml:space="preserve">This service is provided by FEMP to its members through the Insurance Brokerage Aon Gil y Carvajal exclusively, which restricts competition in the national insurance brokerage market, violating Articles 1, 2, and 3 of Law 15/2007 of July 3, on Competition Defense, in relation to Articles 7 and 15 of Law 3/1991 on Unfair Competition.  </w:t>
        <w:br/>
        <w:t xml:space="preserve">The complainant, based in Valencia, provides services in the field of insurance mediation, exercised by insurance brokers.  </w:t>
        <w:br/>
        <w:t xml:space="preserve">The reported party, the Spanish Federation of Municipalities and Provinces (FEMP), is an Association of Local Entities that groups a total of 7,286 local entities (Municipalities, Provincial Councils, Councils, and Island Councils) and was established under the provisions of the Fifth Additional Provision of Law 7/1985 of April 2, Regulating the Bases of Local Regime and was declared a Public Utility Association by Agreement of the Council of Ministers of June 26, 1985.  </w:t>
        <w:br/>
        <w:t xml:space="preserve">Its purposes are: the promotion and defense of the autonomy of Local Entities; the representation and defense of the general interests of Local Entities before other Public Administrations; the provision of services to Local Entities; the development and consolidation of the European spirit at the local level, based on autonomy and solidarity among all Local Entities; the promotion of cooperative relationships with Local Entities at the international level; the management of Government programs aimed at the local sphere.  </w:t>
        <w:br/>
        <w:t xml:space="preserve">The other reported party, Aon Gil y Carvajal SA., Insurance Brokerage, is a company based in Madrid, dedicated to insurance mediation. It is 100% owned by the holding company Aon Southern Europe and Cía SC, which, in turn, is a subsidiary of the American multinational Aon Corporation, a company that diversifies its activities worldwide among different areas such as insurance (health, risks, damages, etc.), reinsurance, asset and capital management, and business consulting.  </w:t>
        <w:br/>
        <w:t xml:space="preserve">SECOND.- The reported facts, subject of the complaint, are the Agreement signed by the Spanish Federation of Municipalities and Provinces and Aon Gil y Carvajal, with the purpose of allowing FEMP to offer the associated Local Entities the possibility of adhering to the Risk and Insurance Protocol, which would be provided exclusively by Aon to those local entities that subscribe to it.  </w:t>
        <w:br/>
        <w:t xml:space="preserve">As in all insurance brokerage services, the service to be provided will consist of assisting in the preparation of the specifications for the bidding of the policies contracted by the local entities, as well as in selecting the most advantageous offer and in the subsequent management of the contracted policies.  </w:t>
        <w:br/>
        <w:t xml:space="preserve">The Agreement was signed on August 1, 2000, with a duration of four years. To date, it has been subject to two renewals: in 2004 it was extended until 2008; and in 2008 until 2012.  </w:t>
        <w:br/>
        <w:t xml:space="preserve">The complainant considers that this Agreement restricts competition in the insurance mediation market through insurance brokers, as it excludes other mediators from the possibility of submitting offers to the tenders and bids of the Local Entities adhering to the protocol, a possibility that they do have regarding Local Entities not adhering.  </w:t>
        <w:br/>
        <w:t xml:space="preserve">Furthermore, the complainant alleges that the receipt of commissions by AON generates a lack of independence in the advice it provides, as it will be incentivized to recommend to the Local Corporations the subscription of the policy with the insurer that offers the best commission, preferentially over others that, while capable of better meeting the client's needs, offer a lower commission to the mediator.  </w:t>
        <w:br/>
        <w:t xml:space="preserve">THIRD.- The Directorate of Investigation, on October 29, 2008, with the aim of understanding the reality of the facts as much as possible to determine if there may be indications of infringement, in accordance with the provisions of Article 49.2 of the Competition Defense Law 15/2007, agreed to carry out a confidential inquiry as a preliminary measure before initiating the corresponding proceedings and taking into account the provisions of Article 39.1 regarding the duty of cooperation of natural or legal persons, it is agreed to "require:  </w:t>
        <w:br/>
        <w:t xml:space="preserve">1st AON GIL Y CARVAJAL (Pages 253 and following) to provide information and submit the following data: (a) main operators in the Spanish insurance brokerage market; (b) aggregate gross business volume of the sector during 2007, indicating, if that information is in its possession, the gross business volume of the sector referring to operations with Local Corporations; (c) gross billing of AON during 2007, indicating what part of it refers to operations with Local Corporations; and (d) after the signing of the Agreement with FEMP, indicate whether AON sent any kind of informative communication to the Local Corporations, providing a copy of such communication.  </w:t>
        <w:br/>
        <w:t xml:space="preserve">2nd FEMP (Pages 259 and following) to provide information and submit the following data: (a) the procedure followed to award AON the provision of the "Risks and Insurance" service, a description that will cover the following aspects: (i) description of the procedure followed to award the "Risks and Insurance" service to AON; (ii) what type of publicity was given to the process, so that brokerage companies could submit their offers; (iii) which insurance companies participated in it; (iv) reasons why AON was ultimately the chosen company; (b) a copy of the Agreement with AON, indicating: (i) whether it is an exclusive agreement; (ii) how the distribution of commissions between AON and FEMP is carried out; (c) the list of local entities adhering to the "Risks and Insurance" service protocol; (d) the list of local entities not adhering to the "Risks and Insurance" service protocol indicating, if that information is in its possession, with which brokerages they are contracting insurance mediation services."  </w:t>
        <w:br/>
        <w:t xml:space="preserve">FOURTH.- FEMP in a letter dated November 6, 2008 (Page 265), which was received that same day and registered under number 4846, establishes the following:  </w:t>
        <w:br/>
        <w:t xml:space="preserve">[confidential]  </w:t>
        <w:br/>
        <w:t>On Page 266 and following is the Administrative and Technical Clauses Document Published for the Competition, descriptive of the General Conditions (Chapter I), Administrative and management organization of the contracted services (Chapter II), Rights and obligations (Chapter III), Economic regime (Chapter IV), Contents and qualification of the offers (Chapter V), and Magnitudes of the mediation service in risk and insurance coverage (Annex I).</w:t>
      </w:r>
    </w:p>
    <w:p>
      <w:r>
        <w:rPr>
          <w:b/>
        </w:rPr>
        <w:t>[Pages 4–6]</w:t>
      </w:r>
    </w:p>
    <w:p>
      <w:r>
        <w:t xml:space="preserve">FIFTH.- On Page 312 is the text of the announcement published in the newspapers El País, El Mundo, and ABC on May 19, 2000.  </w:t>
        <w:br/>
        <w:t xml:space="preserve">SIXTH.- On Page 287 and following is the Communication of the award of the service to AON Gil y Carvajal and the list of companies that submitted bids, in the following literal terms: [confidential]  </w:t>
        <w:br/>
        <w:t xml:space="preserve">FEMP in a letter dated November 12, 2008 (Page 592) states that "in response to your letter dated November 7, I am sending you a copy of the minutes of the Opening of Bids of the competition and the minutes of the Contracting Committee formed for the awarding of the Risk and Insurance Service of the Spanish Federation of Municipalities and Provinces."  </w:t>
        <w:br/>
        <w:t xml:space="preserve">The copy of the Minutes of the Opening of Bids of the Competition for the contracting of mediation services in risk coverage and insurance for the local corporations associated with the Spanish Federation of Municipalities and Provinces (Pages 593 and 594) states [confidential]  </w:t>
        <w:br/>
        <w:t xml:space="preserve">The copy of the Minutes of the meeting of the Contracting Committee of the competition for the contracting of mediation services in risk coverage and insurance for the local entities associated with the Spanish Federation of Municipalities and Provinces, held in Madrid on July 4, 2000 (Pages 595 and 596) states [confidential]  </w:t>
        <w:br/>
        <w:t xml:space="preserve">SEVENTH.- The contract between FEMP and AON Gil y Carvajal (Pages 289) was signed on August 1, 2000, with a validity period until June 30, 2004.  </w:t>
        <w:br/>
        <w:t xml:space="preserve">On Page 301 and following is the copy of the renewal of the contract between FEMP and AON Gil y Carvajal signed on July 1, 2004, with a validity period until June 30, 2008.  </w:t>
        <w:br/>
        <w:t xml:space="preserve">On Page 308 and following is the copy of the renewal of the contract between FEMP and AON Gil y Carvajal signed on July 1, 2008, with a validity period until June 30, 2012.  </w:t>
        <w:br/>
        <w:t xml:space="preserve">EIGHTH.- Finally, on Pages 315 and following is the list of Town Halls adhering to the Service of AON Gil y Carvajal, indicating the Autonomous Communities, Provinces, Local Entities, and number of inhabitants.  </w:t>
        <w:br/>
        <w:t xml:space="preserve">NINTH.- The Directorate of Investigation, on February 2, 2009, directed a communication to FEMP (Pages 597 and 598) requesting the following information and data: (1) when FEMP decided to start offering its members the "Risks and Insurance" Service, indicating which body of FEMP made the decision and its composition at the time of making this decision; (2) minutes or other documents that record the decision-making process within FEMP on this matter.  </w:t>
        <w:br/>
        <w:t xml:space="preserve">The Directorate of Investigation, on February 2, 2009, directed a communication to the GENERAL DIRECTORATE OF INSURANCE AND PENSION FUNDS (Pages 602 and 603) requesting the following information: (1) Law 26/2006 of July 17, on Mediation of private insurance and reinsurance establishes in its Article 7 that mediation can be exercised by insurance agents (whether exclusive or linked) or by insurance brokers. The difference between both legal figures lies in the greater degree of affiliation between the mediator and the insurer; (2) Law 26/2006 allows that the activity of brokers can be doubly remunerated (Article 29.2) through fees (from the policyholder) and commercial commissions charged to the insured; (c) with a view to the instruction of the file, an interpretative question of Law 26/2006 is raised regarding whether it is contrary to Law 26/2006 for a broker to receive only commercial commissions.  </w:t>
        <w:br/>
        <w:t xml:space="preserve">The Directorate of Investigation, on February 2, 2009, directed a communication to MUÑIZ y ASOCIADOS, Insurance Brokerage SL., (Pages 606 and 607) requesting the following information: (a) whether your entity also has clients in the insurance brokerage market among Local Entities; (b) if the answer is affirmative, specify: (i) the Local Entities with which it has contracted; (ii) the billing volume regarding those clients during the validity period of the "Risks and Insurance" protocol of FEMP, specifying the volume of income corresponding to fees received from the policyholders and the volume of income corresponding to commercial commissions received from the insurance entities; (iii) in relation to point (a), whether it is the case that this entity receives only commercial commissions regarding the insurance contracted by any Local Entity.  </w:t>
        <w:br/>
        <w:t xml:space="preserve">TENTH.- FEMP in a letter dated February 9, 2009 (Page 610), which was received that same day and registered under number 682, responding to the request made to it, sends a copy of the minutes of the ordinary meeting of the Executive Commission of FEMP... in which the composition of that body at the time of the agreement is reflected (Pages 611 and following).  </w:t>
        <w:br/>
        <w:t xml:space="preserve">MUÑIZ Y ASOCIADOS in a document registered on February 19, under number 910 (Pages 624 and following) responds to the request made by the Directorate of Investigation. Subsequently, on May 25, it submits a clarifying document with supporting documentation (Pages 630 and following), which was registered under number 2913.  </w:t>
        <w:br/>
        <w:t xml:space="preserve">The GENERAL DIRECTORATE OF INSURANCE AND PENSION FUNDS, on February 17, 2009 (Pages 628 and 629) responds to the request for information regarding its assessment of Article 29 of Law 26/2006, in the following terms:  </w:t>
        <w:br/>
        <w:t xml:space="preserve">1st in the exercise of their activity, insurance brokers may use the services of external auxiliaries referred to in Article 8 of this Law, for whose actions they will be responsible before the Administration.  </w:t>
        <w:br/>
        <w:t xml:space="preserve">2nd consequently, a broker may charge as compensation for the mediation of insurance any of the following options: (a) only commercial commissions from the insurance entity, which are included in the premium receipt; (b) only professional fees from their client. In this case, the broker must issue an invoice independent of the premium receipt in which such fees are stated; (c) commercial commissions from the insurance entity and if this double form of remuneration occurs upon payment of the premium, in addition to professional fees from their client.  </w:t>
        <w:br/>
        <w:t xml:space="preserve">Article 29.2 of the aforementioned Law imposes a double requirement of transparency and information to the client: on one hand, the fees received by the broker must be invoiced separately from the premium receipt and, on the other hand, the commissions with which the insurance entity compensates them must be explicitly stated in the premium receipt.  </w:t>
        <w:br/>
        <w:t xml:space="preserve">And it concludes by stating that, in practice, the most common form of remuneration for brokers in the Spanish insurance market is option (a) of those described above, that is, the collection of commissions from the insurance entity.  </w:t>
        <w:br/>
        <w:t xml:space="preserve">ELEVENTH.- The Directorate of Investigation, on May 27, 2009, submits to this Council of the National Competition Commission a Proposal for Filing based on the provisions of Article 49.3 of Law 15/2007 of July 3, on Competition Defense, for the non-initiation of sanctioning proceedings and the filing of the actions taken as a result of the complaint filed by Muñiz y Asociados against FEMP and AON Gil y Carvajal, considering that there are no indications of infringement of the aforementioned Law.  </w:t>
        <w:br/>
        <w:t xml:space="preserve">TWELFTH.- The Council of the National Competition Commission deliberated and issued this Resolution in the Plenary on June 16, 2009.  </w:t>
        <w:br/>
        <w:t xml:space="preserve">THIRTEENTH.- The interested parties in this file as complainant are Muñiz y Asociados, Insurance Brokerage SL., and as defendants the Spanish Federation of Municipalities and Provinces (FEMP) and Aon Gil y Carvajal SA., Insurance Brokerage.  </w:t>
        <w:br/>
        <w:t>PROVEN FACTS</w:t>
      </w:r>
    </w:p>
    <w:p>
      <w:r>
        <w:rPr>
          <w:b/>
        </w:rPr>
        <w:t>[Pages 7–9]</w:t>
      </w:r>
    </w:p>
    <w:p>
      <w:r>
        <w:t>FIRST.- The following are certain, undisputed, and verifiable facts:</w:t>
        <w:br/>
        <w:t>1st The SPANISH FEDERATION OF MUNICIPALITIES AND PROVINCES (FEMP), within the framework of its statutory powers, has among other purposes the provision of services to Local Entities.</w:t>
        <w:br/>
        <w:t>Therefore, in the Ordinary Meeting of the Executive Commission, held in Madrid on May 16, 2000 (Folio 611), a Competition for the awarding of the FEMP's Risk and Insurance Service for the period 2000-2004 was discussed, deliberated, and approved, adopting the following agreements: (a) approve the initiation of a process for requesting Offers for the contracting of an entity to provide, on behalf of the FEMP, its Risk and Insurance Service; (b) approve the document attached to this record in which the terms and conditions for the provision of said service are described, as well as the awarding procedure; and (c) designate [confidential] to form, together with the Secretary General and the Director of Administration (the latter in a supporting and advisory role), the Contracting Table that will proceed to analyze the various offers received and will elevate its proposal for consideration and, if applicable, approval of the award by the Executive Commission.</w:t>
        <w:br/>
        <w:t>The Administrative and Technical Clauses Document that will govern the contracting of mediation services in risk coverage and insurance for the Local Entities associated with the FEMP (Pages 267 and following) states in its Preamble that: (a) the FEMP, as a representative entity of Spanish Local Entities and in the exercise of its statutory purposes… (within) the framework of action, the contracting of mediation services in risk coverage and insurance… requires a stable long-term relationship with an entity of recognized business and technical prestige in the insurance mediation sector and with proven economic solvency; (b) the mediation services… must improve and expand those currently offered; (c) currently, the aforementioned mediation services in risk coverage and insurance of the FEMP are exclusively provided by an insurance brokerage…</w:t>
        <w:br/>
        <w:t>2nd On May 19, 2000 (Folio 312), the announcement of the Competition for the contracting of mediation services in risk coverage and insurance for the local corporations associated with the FEMP was published in the newspapers El País, El Mundo, and ABC… in compliance with the Agreement of the Executive Commission adopted in its meeting of May 16, 2000, the call for the submission of offers is made…. The Administrative and Technical Clauses Document is available to interested entities at the FEMP headquarters…. Offers will be delivered by hand and in a sealed envelope at the FEMP headquarters and, for notification purposes, a person will be designated by the bidding entity… The deadline for submitting offers will end at 14:00 hours on June 7, 2000…. The opening of offers will take place in a public act at 12:00 hours on June 8, 2000, at the FEMP headquarters.</w:t>
        <w:br/>
        <w:t>3rd On June 8, 2000 (Pages 593 and 594), at the FEMP headquarters, at 12:00 hours, the act of opening the envelopes of the Competition begins… The following persons attend the act, representing the bidding entities… Once the act has begun, the President proceeds to open the envelopes containing the offers submitted within the deadline, which have been the following: AON Gil y Carvajal (envelope 1), S &amp; C Willis Corroon-Insurance and Reinsurance Brokerage (envelope 2), and Muñiz &amp; Asociados Insurance Brokerage (envelope 3).</w:t>
        <w:br/>
        <w:t>Subsequently, the attendees are invited to express any doubts they may have or request any explanations they deem necessary. None of those present raise any doubts or require clarifications or explanations.</w:t>
        <w:br/>
        <w:t>Later, in order to expedite the awarding process as much as possible and given that Article 5 (point 4) of the Conditions Document establishes that once the envelopes are opened, a period of seven working days will be opened for the submission of allegations by the bidding entities, the President proposes to the attendees that if all of them express in writing that they will not submit allegations, the Contracting Table is in favor of not exhausting said period and proceeding immediately to the next phase of the process.</w:t>
        <w:br/>
        <w:t>4th On July 4, 2000 (Pages 595 and 596), at the FEMP headquarters, at 9:30 hours, the meeting of the Contracting Table for the Competition for the contracting of mediation services in risk coverage and insurance for the local entities associated with the FEMP begins…. The purpose is to proceed with the qualification of the candidate offers submitted, as well as to adopt the agreement for the awarding of the aforementioned Competition, which will be elevated as a proposal for subsequent ratification by the Executive Commission of the FEMP.</w:t>
        <w:br/>
        <w:t>Once the compliance with the corresponding procedures defined in Article 5 of the Conditions Document has been verified and in view of the technical reports prepared for the qualification of the candidate offers in application of the framework established in Article 17 of the Conditions Document, the Contracting Table, by unanimous agreement of its members, grants the following qualifications to the candidate offers: [confidential].</w:t>
        <w:br/>
        <w:t>Based on the qualifications granted and as established in Article 18 of the Conditions Document, the Contracting Table unanimously agrees to award the mediation services in risk coverage and insurance subject to the Conditions Document of the Competition to the entity AON GIL Y CARVAJAL SA.</w:t>
        <w:br/>
        <w:t>Finally, it is agreed to elevate the award agreement adopted to the Executive Commission of the FEMP for its ratification, as established in point 6 of Article 5 of the Conditions Document.</w:t>
        <w:br/>
        <w:t>5th On July 5, 2000 (Folio 288), the FEMP proceeds to communicate to AON Gil y Carvajal that…. the Executive Commission, in its meeting yesterday, July 4, in view of the unanimous proposal made by the Contracting Table, has also unanimously agreed to award the aforementioned Competition to the entity you represent, understanding that your offer is the most suitable to the needs and interests of the FEMP, in accordance with the provisions of the Conditions Document of the Competition.</w:t>
        <w:br/>
        <w:t>6th On August 1, 2000 (Pages 290 and following), the contract between the FEMP and AON Gil y Carvajal is signed, with a validity period until June 30, 2004.</w:t>
        <w:br/>
        <w:t>On July 1, 2004 (Pages 301 and following), the first renewal of the contract between the FEMP and AON Gil y Carvajal is signed, with a validity period until June 30, 2008.</w:t>
        <w:br/>
        <w:t>On July 1, 2008 (Pages 308 and following), the second renewal of the contract between the FEMP and AON Gil y Carvajal is signed, with a validity period until June 30, 2012.</w:t>
        <w:br/>
        <w:t>SECOND.- Muñiz &amp; Asociados, Insurance Brokerage has not had a peaceful conduct and has, at different times, proceeded to file challenges before the contentious-administrative jurisdiction (Pages 590 and 591).</w:t>
        <w:br/>
        <w:t>The Sixth Section of the Contentious-Administrative Chamber of the National Court, in Appeal 476/1999, declares that “the plaintiff (Muñiz y Asociados) already challenged a similar competition to the one we have examined, for private insurance mediation convened by the Ministry of the Interior, which was dismissed by this Chamber in judgment dated March 31, 2000, previously cited; despite this, and after knowing the Chamber's criterion on the unfounded nature of its claims, the plaintiff formalized its demand and maintained its claims in this appeal, thus incurring in conduct that deserves the qualification of reckless. The behavior of the plaintiff caused expenses to the defendant parties in the defense of their legitimate rights in this appeal, and the Chamber considers it just that such expenses be compensated by the party that caused them with its recklessness, condemning therefore, in accordance with Article 139.1 LJCA, the plaintiff to pay costs.”</w:t>
        <w:br/>
        <w:t>THIRD.- Clause Four of the initial contract signed, which binds the FEMP and AON Gil y Carvajal, establishes exclusivity in the provision of the service (Folio 293), which constitutes the object of the Risk and Insurance Service of the FEMP to its associated Local Entities that request it, without prejudice to the fact that they may contract similar or different insurance services privately with entities other than the awardee and the policies in force contracted prior to the signing of this contract.</w:t>
        <w:br/>
        <w:t>Exclusivity that is maintained and reiterated in the first of the renewals, as provided in the Second of the Stipulations: a) Fourth Stipulation. FOURTH. Exclusivity in the provision of the service. The awardee shall enjoy exclusivity in the provision of the activities and services that constitute the object of the Risk and Insurance Service of the FEMP to...</w:t>
      </w:r>
    </w:p>
    <w:p>
      <w:r>
        <w:rPr>
          <w:b/>
        </w:rPr>
        <w:t>[Pages 10–12]</w:t>
      </w:r>
    </w:p>
    <w:p>
      <w:r>
        <w:t>its associated local entities that request them by virtue of its status as the awardee of said Service, without prejudice to the policies in force contracted prior to the signing of the contract. The second renewal of the initial contract is limited to "maintaining the wording of the stipulations of the current contract until June 30, 2008."</w:t>
      </w:r>
    </w:p>
    <w:p>
      <w:r>
        <w:t>FOURTH.- The distribution of economic results (Eleventh Clause of the initial contract) arises: first, within the framework of the obligations of the awardee and, specifically, in the obligation to "communicate to FEMP and keep updated the net business figure resulting from the provision of the service object of the contract, indicating the economic results corresponding to FEMP and the awardee (Eighth Clause); and second, within the framework of the rights of FEMP, in order "to obtain the economic result derived from the provision of mediation services, in accordance with the terms established in the eleventh stipulation (Ninth Clause).</w:t>
      </w:r>
    </w:p>
    <w:p>
      <w:r>
        <w:t>The Eleventh Clause (distribution of economic results) provides that the awardee must pay FEMP:</w:t>
        <w:br/>
        <w:t>1. a fixed amount of two million pesetas to be paid monthly during the term of the contract. This amount includes all future economic rights that may correspond to FEMP as a result of its contract with PROASES SA, Brokerage that managed the FEMP Risk and Insurance Service and has been acquired by AON Gil y Carvajal SA.</w:t>
        <w:br/>
        <w:t>2. an additional variable amount defined as a percentage of actual income (collections) corresponding to the premiums generated from the entry into force of this contract, which will be paid quarterly during the term of the contract. For these purposes, three levels of local corporations are distinguished, to which different percentages of distribution of actual income correspond, according to the following detail (Pages 297 and 298):</w:t>
        <w:br/>
        <w:t>• Level 1: Corporations with less than 10,000 inhabitants: 50%</w:t>
        <w:br/>
        <w:t>• Level 2: Corporations with 10,000 to 100,000 inhabitants: 25%</w:t>
        <w:br/>
        <w:t>• Level 3: Corporations with more than 100,000 inhabitants: 15%</w:t>
      </w:r>
    </w:p>
    <w:p>
      <w:r>
        <w:t>FEMP is responsible for managing the collections obtained from the contracting of the services, as well as making the deposit into the awardee's account. For its part, the awardee must make the appropriate settlements to FEMP and provide it with the established periodic information. The administrative costs generated by the settlements made between FEMP and the awardee will be borne by the awardee.</w:t>
      </w:r>
    </w:p>
    <w:p>
      <w:r>
        <w:t>FIFTH.- In the first renewal of the initial binding contract, the adaptation of the Eleventh Clause (distribution of economic results) is provided, and it is agreed that the awardee must pay FEMP a fixed amount of €21,000, which will be paid monthly. The accrual of said amount will commence on July 1, 2004. Starting from a base amount of two hundred fifty-two thousand euros, the fixed annual and monthly amount to be paid from January 1, 2005, shall be as follows (Pages 304 and 305):</w:t>
      </w:r>
    </w:p>
    <w:p>
      <w:r>
        <w:t xml:space="preserve">2005 2006 2007 2008  </w:t>
        <w:br/>
        <w:t xml:space="preserve">Annual €264,600 €277,830 €291,721 €306,307  </w:t>
        <w:br/>
        <w:t>Monthly €22,050 €23,152 €24,310 €25,525</w:t>
      </w:r>
    </w:p>
    <w:p>
      <w:r>
        <w:t>This fixed amount may be increased with a supplement for the number of signed and not denounced adhesions for at least one year and another supplement for the volume of premiums generated by the new adhesions. Both supplements will be settled at the end of each year. The supplement for the number of signed adhesions will be calculated on the total annual amount of the fixed remuneration and will be paid to FEMP when the number of signed adhesions during a year represents any of the following percentage increases over the total accumulated number of signed adhesions up to the immediately preceding year and provided that they are signed and not denounced adhesions for at least one year:</w:t>
      </w:r>
    </w:p>
    <w:p>
      <w:r>
        <w:t xml:space="preserve">Increase over % of Additional Remuneration  </w:t>
        <w:br/>
        <w:t xml:space="preserve">% of Additional Remuneration over the  </w:t>
        <w:br/>
        <w:t xml:space="preserve">number of fixed annual remuneration  </w:t>
        <w:br/>
        <w:t xml:space="preserve">for increase in  </w:t>
        <w:br/>
        <w:t xml:space="preserve">adhesions of less than 10,000 inhabitants  </w:t>
        <w:br/>
        <w:t xml:space="preserve">from the previous year of more than 10,000 inhabitants  </w:t>
        <w:br/>
        <w:t xml:space="preserve">From 5% to 9.99% --- 10%  </w:t>
        <w:br/>
        <w:t xml:space="preserve">From 10% to 19.99% 2% 20%  </w:t>
        <w:br/>
        <w:t xml:space="preserve">From 20% to 29.99% 3% 30%  </w:t>
        <w:br/>
        <w:t>From 30% to ……… 4% 35%</w:t>
      </w:r>
    </w:p>
    <w:p>
      <w:r>
        <w:t>Each corporation with more than fifty thousand inhabitants (50,000 inhabitants) that signs an adhesion agreement from July 1, 2004, will increase the remuneration percentages indicated by 1.5% of the corresponding annual amount, also calculated on the fixed amount. The supplement for the volume of premiums generated by the new adhesions will begin to accrue from January 1, 2005, and its amount will result from applying the following percentage on the difference between one annual amount and the immediately preceding one of the net premiums intermediated under signed adhesion agreements:</w:t>
      </w:r>
    </w:p>
    <w:p>
      <w:r>
        <w:t xml:space="preserve">Increase of Net Premiums  </w:t>
        <w:br/>
        <w:t xml:space="preserve">% Additional Remuneration on  </w:t>
        <w:br/>
        <w:t xml:space="preserve">increase of Net Premiums  </w:t>
        <w:br/>
        <w:t xml:space="preserve">Intermediated by signed  </w:t>
        <w:br/>
        <w:t xml:space="preserve">Adhesion agreements  </w:t>
        <w:br/>
        <w:t>10% and above 0.50%</w:t>
      </w:r>
    </w:p>
    <w:p>
      <w:r>
        <w:t>The awardee must make the appropriate settlements to FEMP and provide it with the established periodic information. The administrative costs generated by the settlements made between FEMP and the awardee will be borne by the awardee.</w:t>
      </w:r>
    </w:p>
    <w:p>
      <w:r>
        <w:t>SIXTH.- There are a total of 8,165 local entities in Spain, with a population of 45,202,671 inhabitants. Of these, only 502 have adhered to the FEMP Risk and Insurance Protocol; and 7,663 have not done so.</w:t>
      </w:r>
    </w:p>
    <w:p>
      <w:r>
        <w:t>That is, although the number of adhering municipalities is relatively small (6.5% of the total municipalities), it is significant as it concentrates an important part of the total Spanish population (26.45%).</w:t>
      </w:r>
    </w:p>
    <w:p>
      <w:r>
        <w:t>Muñiz &amp; Asociados has clients among the Local Entities (Pages 624 and following), having conducted operations with 23, of which 3 have signed the FEMP Risk and Insurance Protocol.</w:t>
      </w:r>
    </w:p>
    <w:p>
      <w:r>
        <w:t>And regarding its normal and usual procedure within the framework of economic remuneration as consideration for its professional services, it is exclusively through commercial commissions, having not received in any case fees from the policyholders. Having received in 2007 the amount of €125,826.72 in the concept of commercial commissions for the contracts signed with Local Entities (billing volume).</w:t>
      </w:r>
    </w:p>
    <w:p>
      <w:r>
        <w:t>SEVENTH.- The General Directorate of Insurance and Pension Funds, of the Secretary of State for Economy, in its Report 827/2009 of February 12, 2009 (Pages 628 and 629) states:</w:t>
      </w:r>
    </w:p>
    <w:p>
      <w:r>
        <w:t>First.- The remuneration received by brokers as consideration for the services they provide in the mediation of insurance is regulated in Article 29.2 of Law 26/2006 of July 17, on Private Insurance and Reinsurance Mediation.</w:t>
      </w:r>
    </w:p>
    <w:p>
      <w:r>
        <w:rPr>
          <w:b/>
        </w:rPr>
        <w:t>[Pages 13–15]</w:t>
      </w:r>
    </w:p>
    <w:p>
      <w:r>
        <w:t xml:space="preserve">SECOND.- Consequently, a broker may charge as compensation for the insurance intermediation any of the following options: (a) only commercial commissions from the insurance entity, which are included in the premium receipt; (b) only professional fees from their client; (c) commercial commissions from the insurance entity and this dual form of compensation occurs upon payment of the premium, in addition to professional fees from their client.  </w:t>
        <w:br/>
        <w:t xml:space="preserve">Article 29.2 of the aforementioned Law imposes a dual requirement of transparency and information on the client: on one hand, the fees received by the broker must be invoiced separately from the premium receipt and, on the other hand, the commissions with which the insurance entity compensates them must be explicitly stated in the premium receipt.  </w:t>
        <w:br/>
        <w:t xml:space="preserve">THIRD.- In practice, the most common form of compensation for brokers in the Spanish insurance market is option (a) of those described above, that is, the collection of commissions from the insurance entity.  </w:t>
        <w:br/>
        <w:t xml:space="preserve">LEGAL GROUNDS  </w:t>
        <w:br/>
        <w:t xml:space="preserve">FIRST.- The activity of insurance mediation is defined in Law 26/2006 of July 17, on Private Insurance and Reinsurance Mediation, which adapted to Spanish Law Directive 2002/92/EC of the European Parliament and of the Council of December 9. This Directive established the foundations for the harmonization of insurance mediation activities in the European Union, in response to the need to establish a community legal framework for the exercise of insurance mediation activities.  </w:t>
        <w:br/>
        <w:t xml:space="preserve">Law 26/2006 aims to regulate the conditions under which commercial activities of private insurance and reinsurance must be organized and developed, establishes the rules on access and exercise by natural and legal persons who carry them out, and the regime of supervision and administrative discipline that applies to them.  </w:t>
        <w:br/>
        <w:t xml:space="preserve">Article 2.1 of Law 26/2006 defines insurance mediation as “those activities consisting of the presentation, proposal, or performance of preliminary work prior to the conclusion of an insurance or reinsurance contract, or the conclusion of these contracts, as well as assistance in the management and execution of said contracts, particularly in the event of a claim.”  </w:t>
        <w:br/>
        <w:t xml:space="preserve">According to the aforementioned Law (art. 7), insurance mediation may be exercised by insurance agents (whether exclusive or tied) or by insurance brokers. These functions are incompatible with each other, although any mediator may change their registration in the special administrative register of insurance mediators to exercise another type of mediation, provided they meet the requirements for it.  </w:t>
        <w:br/>
        <w:t xml:space="preserve">The difference between the various types of mediators lies in the greater or lesser degree of affiliation between the mediator and the insurance companies. From greater to lesser degree of affiliation, the mediators are: the exclusive insurance agent (bound by a contractual relationship with a single insurer), the tied insurance agent (to several insurance companies), and the insurance broker for whom the Law imposes specific obligations of independence.  </w:t>
        <w:br/>
        <w:t xml:space="preserve">The obligation imposed on the broker to provide professional and independent advice is recognized in various obligations throughout the LMSRSP. For example, art. 26, in its second paragraph, states that insurance brokers must inform those seeking to contract insurance about the conditions of the contract that they believe should be subscribed and offer the coverage that, according to their professional judgment, best suits the needs of the latter; likewise, they will ensure the concurrence of the requirements that the insurance policy must meet for its effectiveness and full effects.  </w:t>
        <w:br/>
        <w:t xml:space="preserve">Article 42 imposes on the broker the obligation to analyze a sufficient number of contract offers: as stated in art. 42, in its paragraph 4: The advice (...) that insurance brokers are obliged to provide will be based on the analysis of a sufficient number of insurance contracts offered in the market for the risks subject to coverage, so that they can formulate a recommendation, adhering to professional criteria, regarding the insurance contract that would be suitable for the client's needs.  </w:t>
        <w:br/>
        <w:t xml:space="preserve">Law 26/2006 allows for the activity of brokers to be doubly compensated (art. 29.2) through fees (from the policyholder) and commercial commissions that they charge to the insurers. Aware that the receipt of commissions may compromise the independence of the broker, the same art. 29.2 establishes a transparency obligation that weighs on the broker towards the policyholder. It states that “If, in addition to the fees, part of the broker's compensation is satisfied upon payment of the premium to the insurance entity, it must be indicated, only in this case, in the premium receipt the amount thereof and the name of the broker to whom it corresponds.”  </w:t>
        <w:br/>
        <w:t xml:space="preserve">As will be seen later, according to information provided to the Directorate of Investigation by the General Directorate of Insurance and Pension Funds, the sector regulations allow for the broker's remuneration to consist solely of commercial commissions. In fact, the usual practice of compensating the activity of brokers is precisely remuneration exclusively through commercial commissions. And in these cases, the transparency obligation to which we have just referred does not apply.  </w:t>
        <w:br/>
        <w:t xml:space="preserve">The European Commission, through DGCOMP, analyzed these issues in a sectoral investigation under Article 17 of Regulation (EC) No. 1/2003 on business insurance, where it precisely highlighted the existence of an incentive problem in the activity of brokers. In point 19 of the report, it states verbatim:  </w:t>
        <w:br/>
        <w:t xml:space="preserve">Brokers act as advisors to their clients and as a distribution channel for the insurer, often with the capacity to underwrite policies and binding character. This dual role is a potential source of conflict of interest between the objectivity of the advice they provide to their clients and their own commercial interests. Such conflicts may also arise from aspects related to their remuneration, including commissions on actual profit.  </w:t>
        <w:br/>
        <w:t xml:space="preserve">SECOND.- Law 15/2007 of July 3, on Competition Defense, under the heading Prohibited Conducts, in its Article 1 (Collusive Conducts) in conjunction with Articles 44 and 45 of the Regulation, in its first paragraph “prohibits any agreement, decision or collective recommendation, or concerted or consciously parallel practice, that has as its object, produces or may produce the effect of preventing, restricting or distorting competition in all or part of the national market and, in particular, those that consist of: (a) the direct or indirect fixing of prices or other commercial or service conditions; (b) the limitation or control of production, distribution, technical development or investments; (c) the allocation of the market or sources of supply.  </w:t>
        <w:br/>
        <w:t xml:space="preserve">And in its third paragraph, “the prohibition in the first paragraph shall not apply to agreements, decisions, recommendations, and practices that contribute to improving the production or marketing and distribution of goods and services or to promoting technical or economic progress, without any prior decision being necessary for this purpose, provided that: (a) they allow consumers or users to participate equitably in their advantages; (b) they do not impose on the interested companies restrictions that are not indispensable for achieving those objectives; and (c) they do not allow the participating companies the possibility of eliminating competition regarding a substantial part of the products or services contemplated.”  </w:t>
        <w:br/>
        <w:t xml:space="preserve">Based on the previous establishments (background and proven facts), it must be emphasized: (1) that FEMP, as an Association of Local Entities, grouping Town Halls, Provincial Councils, Councils, and Island Councils, was established under the provisions of the Fifth Additional Provision of Law 7/1985 of April 2, Regulating the Bases of Local Regime and was declared a Public Utility Association by Agreement of the Council of Ministers of June 26, 1985. Among its purposes is “the provision of services to Local Entities”; (2) by Agreement of its Governing Bodies, with sufficient publicity in three national newspapers, it informs the Insurance Entities that may be interested of a Competition “for the awarding of the Risk and Insurance Service for the period 2000-2004”; (3) A Competition that was held with all the guarantees specified in the Terms of Reference and with the presence of the three competing parties, including the complainant. Therefore, prima facie, all administrative requirements have been met, which leads this Council to want to pronounce on it and establish that FEMP, by acting within the parameters of the principles of legality and legal certainty enshrined in Article 9 of the Spanish Constitution, cannot be accused of a breach of competition (principle of causality) and, therefore, the effects derived from such cause are perfectly valid in Law, without any remote possibility of stating a nullity defect of the contractual bond with AON Gil and Carvajal.  </w:t>
        <w:br/>
        <w:t>And delving into the legal business subject to the complaint (the Competition), it does not obligate the associated Local Entities, but rather those that freely and voluntarily decide to do so (request it, in the words of the Terms of Reference) and not always, as they may withdraw their commitment; and not for all the possibilities covered by the Risk and Insurance Service. Hence, we can conclude by saying that the concept of exclusivity is not exclusive. What</w:t>
      </w:r>
    </w:p>
    <w:p>
      <w:r>
        <w:rPr>
          <w:b/>
        </w:rPr>
        <w:t>[Pages 16–18]</w:t>
      </w:r>
    </w:p>
    <w:p>
      <w:r>
        <w:t xml:space="preserve">leads to the dismissal of the complaint due to the absence of a violation of Article 1 of Law 15/2007 of July 3, on Competition Defense.  </w:t>
        <w:br/>
        <w:t xml:space="preserve">The Council wishes to make an intellectual digression, which highlights the twisted approach of the complaining entity. It is a certain fact that the complainant participates in the competition with the intention of winning it, obviously; it must be a certain fact that the complainant was aware of the competition's rules, its rights and obligations, and the object of the insurance, as well as the qualified condition of exclusivity in its provision. Hence, one may pose the question: would the complainant have challenged the entire process had they emerged as the winner? We ask this because it is not evidenced that the complainant reported ex tunc to the competition authority such competition for existing competitive defects that would restrict competition in the insurance mediation market by excluding other mediators from the possibility of submitting offers in the competitions and tenders of the Local Entities that are adhered (associated) to the Risk and Insurance Service; and instead doing so ex nunc once they have not been declared the winner. In plain Roman terms, the Competition would have been good if I had been the winner; it is bad and flawed insofar as I have not been the winner.  </w:t>
        <w:br/>
        <w:t xml:space="preserve">THIRD.- Law 15/2007 of July 3, on Competition Defense, in its Article 2 (Abuse of Dominant Position) provides in its first paragraph that "the abusive exploitation by one or several companies of their dominant position in all or part of the national market is prohibited."  </w:t>
        <w:br/>
        <w:t xml:space="preserve">The complainant, Muñiz &amp; Asociados Correduría de Seguros SL., supports the violation of this regulatory provision: (1) because the Agreement signed by FEMP and AON has placed it in a dominant position in the insurance brokerage market with local entities; and (2) because AON abuses this dominant position by recommending to the local entities, to which it provides advice (that is, to the associated local entities), that they lean towards granting policies to those insurance entities that offer a higher commercial commission, to the detriment of those that present a more advantageous offer.  </w:t>
        <w:br/>
        <w:t xml:space="preserve">The complainant's claim must be rejected:  </w:t>
        <w:br/>
        <w:t xml:space="preserve">1st because although AON is the leader in the brokerage market in Spain, with a share of 26.41%, it has not been proven or evidenced that it can act in that market independently of its competitors and clients. Therefore, in the absence of a dominant position, there can be no abusive exploitation of it.  </w:t>
        <w:br/>
        <w:t xml:space="preserve">On another note, but subject to a substantive interrelation, the complainant's claim to define a relevant market exclusively and separately constituted by the segment of brokerage services for local entities, even admitting the existence of certain peculiarities, must be rejected as absurd and senseless, as otherwise it would lead us to an atomization of any market and not just this one, reducing to the absurd and ad infinitum all economic activity.  </w:t>
        <w:br/>
        <w:t xml:space="preserve">2nd the complaining entity enters into a dynamic of contradictions, as while in its initial complaint it states that "as in all insurance brokerage services, the service to be provided will consist both in assisting during the preparation of the terms of reference for the tender of the policies contracted by the local entities, as well as in selecting the most advantageous offer and in the subsequent management of the contracted policies," subsequently and after a resounding and accurate assertion, it complains that this "restricts competition in the market for service mediation, as it excludes other mediators from the possibility of submitting offers to the competitions and tenders of the associated and adhered Local Entities, a possibility that they do have regarding non-adhered Local Entities."  </w:t>
        <w:br/>
        <w:t xml:space="preserve">We say that it enters into a contradictio in terminis because this is not the object of the Competition and, therefore, is not the cause of the accusation made in its complaint. The Competition is the competition, and what it enables is for AON to advise the Local Entities adhered to draft the tender documents requested by the local entities, in each particular case; and to specify the insurance entity that has emerged as the winner.  </w:t>
        <w:br/>
        <w:t xml:space="preserve">Transcending such work and making a defamatory accusation ab initio asserting that AON would operate in the field of its benefits and spurious interests, against a good practice that must be presumed, is inadmissible.  </w:t>
        <w:br/>
        <w:t xml:space="preserve">Inadmissible, since it presupposes that the advised Local Entities are involved in the commission of a crime.  </w:t>
        <w:br/>
        <w:t xml:space="preserve">3rd it is not acceptable, even in this administrative avenue, for any complainant to limit themselves to making statements of violation of competition provisions, without even addressing it with the value of mínimis sufficient evidence or founded presumptions on which the complaint is based.  </w:t>
        <w:br/>
        <w:t xml:space="preserve">To this effect, we remind the complaining commercial entity that, in its day, the National Court (Sixth Section of the Contentious-Administrative Chamber) admonished and economically sanctioned it for its notorious and evident procedural recklessness.  </w:t>
        <w:br/>
        <w:t xml:space="preserve">FOURTH.- Law 15/2007 of July 3, on Competition Defense, in its Article 3 punishes the distortion of free competition by unfair acts, provided that they affect the public interest. This circumstance or sine qua non requirement is not present in the examined conduct.  </w:t>
        <w:br/>
        <w:t xml:space="preserve">Indeed, there is no violation of Article 7 of Law 3/1991, on Unfair Competition, as invoked by the complainant, since deception (free of charge services) has not been proven; on the contrary, the simple reading of the Protocol and the adhesion links of the associated local entities with FEMP demonstrate that such an accusation becomes malicious, given the existing documentary transparency.  </w:t>
        <w:br/>
        <w:t xml:space="preserve">And finally, the alleged incorporation of the unfair conduct in Article 15 of the aforementioned Law 3/1991, of taking advantage of a significant advantage through the violation of laws, must also be rejected for a double consideration: first, as the complainant is an insurance brokerage, it seems necessary that it knows and applies the provisions that comprise Law 26/2006 of July 17, on Mediation of private insurance and reinsurance, which governs its business activity; and second, it must know those provisions that expressly and specifically constitute and authorize the economic perceptions for the counter-performances made. If ignorance of the Laws does not excuse compliance, to a greater extent the complainant cannot abstract from a governing norm of its own business activity.  </w:t>
        <w:br/>
        <w:t xml:space="preserve">Therefore, in the absence of any indications of unfair conduct, the violation of Article 3 of Law 15/2007, on Competition Defense, must be dismissed.  </w:t>
        <w:br/>
        <w:t xml:space="preserve">Having reviewed the cited provisions and the others of general application, THE COUNCIL HAS RESOLVED  </w:t>
        <w:br/>
        <w:t xml:space="preserve">SOLE.- Under the protection of Article 49.3 of Law 15/2007 of July 3, on Competition Defense, we agree to adopt the proposal of the Directorate of Investigation regarding not to initiate sanctioning proceedings and to archive the actions taken as a result of the complaint filed by Muñiz y Asociados, Correduría de Seguros SL., against the Spanish Federation of Municipalities and Provinces (FEMP) and Aon Gil y Carvajal SA., Insurance Brokerage, as no indications of infringement of Articles 1, 2, and 3 of Law 15/2007 have been appreciated.  </w:t>
        <w:br/>
        <w:t>Communicate this Resolution to the Directorate of Investigation and notify the interested parties, informing them that no appeal can be made against it in the administrative avenue, but they may appeal to the contentious-administrative jurisdiction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