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https://www.cnmc.es/expedientes/s008908</w:t>
      </w:r>
    </w:p>
    <w:p>
      <w:r>
        <w:t>Pages translated : 27</w:t>
      </w:r>
    </w:p>
    <w:p/>
    <w:p>
      <w:r>
        <w:rPr>
          <w:b/>
        </w:rPr>
        <w:t>[Pages 1–3]</w:t>
      </w:r>
    </w:p>
    <w:p>
      <w:r>
        <w:t>RESOLUTION (FILE S/0089/08 UNION FENOSA INSTALLATION)</w:t>
        <w:br/>
        <w:t>Council</w:t>
        <w:br/>
        <w:t>Sirs:</w:t>
        <w:br/>
        <w:t>Mr. Luis Berenguer Fuster, President</w:t>
        <w:br/>
        <w:t>Ms. Pilar Sánchez Núñez, Vice President</w:t>
        <w:br/>
        <w:t>Mr. Julio Costas Comesaña, Councilor</w:t>
        <w:br/>
        <w:t>Ms. María Jesús González López, Councilor</w:t>
        <w:br/>
        <w:t>Ms. Inmaculada Gutiérrez Carrizo, Councilor</w:t>
        <w:br/>
        <w:t>In Madrid, on September 20, 2011</w:t>
        <w:br/>
        <w:t>The Council of the National Competition Commission (CNC), with the composition stated above, and with the Rapporteur being Councilor Ms. Inmaculada Gutiérrez Carrizo, has issued this Resolution in the sanctioning file S/0089/08 UNION FENOSA INSTALLATION, initiated by the Investigation Directorate of the CNC against Unión Fenosa Distribución S.A. for alleged restrictive practices of competition prohibited by Article 6 of Law 16/1989, of July 17, on the Defense of Competition (LDC) and Article 102 of the TFEU.</w:t>
      </w:r>
    </w:p>
    <w:p>
      <w:r>
        <w:t>FACTUAL BACKGROUND</w:t>
        <w:br/>
        <w:t>1. On June 27, 2008, a letter from Mr. XXX, President of FENIE, was received by the Investigation Directorate of the National Competition Commission (CNC), filing a complaint against Unión Fenosa for alleged infringement of Article 2 of Law 15/2007, on the Defense of Competition (pages 1-107). According to the complainant, the reported practice is limited to "the fact that the Electricity Distribution Company can execute electrical installations taking advantage of its dominant position as an electricity supplier, preventing other electrical installation companies present in the market from competing on a minimally equal footing" (page 4). In view of this complaint, the Investigation Directorate opened a reserved inquiry under reference S/0089/08.</w:t>
      </w:r>
    </w:p>
    <w:p>
      <w:r>
        <w:t>2. On October 30, 2009, in accordance with the provisions of Article 5.2.a) of Law 1/2002, of February 21, on the Coordination of the competencies of the State and the Autonomous Communities in matters of Defense of Competition, a letter was received at the National Competition Commission (CNC) from the Competition Defense Tribunal of the Community of Madrid informing of the receipt of a complaint against Unión Fenosa, filed by the Professional Association of Electrical and Telecommunications Installation Entrepreneurs of Madrid (APIEM), for violation of Article 2 of the LDC, consisting of an abuse of dominant position in the market for electrical installations, connected to the electricity supply market, in which the accused holds a dominant position as a distributor in the territory of the Community of Madrid (page 192).</w:t>
      </w:r>
    </w:p>
    <w:p>
      <w:r>
        <w:t>3. On November 11, 2009, the Investigation Directorate requested the Competition Defense Tribunal of the Community of Madrid to send the complaint, in accordance with Articles 1 and 2 of Law 1/2002, considering the CNC competent to address it as it concerns practices that UF would carry out at a national level (pages 214-218).</w:t>
      </w:r>
    </w:p>
    <w:p>
      <w:r>
        <w:t>4. On December 3, 2009, a letter was received from the Competition Defense Tribunal of the Community of Madrid, admitting the CNC's competence in the matter and sending the file in its possession, which led to the opening of a reserved inquiry under reference S/0205/09 (page 224).</w:t>
      </w:r>
    </w:p>
    <w:p>
      <w:r>
        <w:t>5. On December 3, 2009, in view of the information obtained, the Investigation Directorate initiated a sanctioning file against Unión Fenosa Distribución S.A. (UFD), with the file registered under number S/0089/08. Given that the content of the facts subject to this sanctioning file was closely connected to those of the reserved inquiry S/0205/09, it was agreed to accumulate the latter to the present file under the provisions of Article 29 of the Competition Defense Regulation approved by Royal Decree 261/2008, of February 22. The initiation agreement was notified to the parties on that same day, December 3, providing a copy of the complaint (pages 351-369).</w:t>
      </w:r>
    </w:p>
    <w:p>
      <w:r>
        <w:t>6. After various instructional acts, in accordance with the provisions of Article 50.3 of the LDC, on October 6, 2010, the Investigation Directorate formulated the Statement of Specific Facts (PCH) which was notified to the parties. In view of all the actions taken, the Investigation Directorate considered that the conduct practiced by UFD between the years 2001 and 2009, consisting of sending execution budgets for non-reserved extension installations to the distributor and failing to provide the information on the technical-economic conditions required by the regulations in response to requests for new supply points or modifications of existing ones that entail the need to execute installations not reserved for the distributor, constitutes an abuse of its dominant position in the distribution networks market that severely distorts competition in the related market of extension installations, which constitutes an infringement of Article 6 of Law 16/1989, of July 17, on the Defense of Competition, Article 2 of the LDC, as well as Article 102 of the TFEU.</w:t>
      </w:r>
    </w:p>
    <w:p>
      <w:r>
        <w:t>7. On October 6, 2010, the Investigation Directorate requested the National Energy Commission (CNE) to issue a report on the reference file, in application of Article 17.2, letter d), of the LDC (pages 2202-2203). On that same date, the parties were notified of the suspension of the maximum resolution period of the procedure (pages 2206-2213). This request for a report to the CNE was reiterated on December 2, 2010 (pages 2359-2360).</w:t>
      </w:r>
    </w:p>
    <w:p>
      <w:r>
        <w:t>8. On October 13, 2010, the Investigation Directorate requested the Galician Competition Defense Tribunal (TGDC) to issue a report on the reference file, in application of Article 33.2 of RD 261/2008 (page 2214). The report from the TGDC was received at the CNC on November 3, 2011 (pages 2288-2335). In this report, the TGDC agrees with the assessment of the Investigation Directorate regarding UFD's conduct as stated in the PCH.</w:t>
      </w:r>
    </w:p>
    <w:p>
      <w:r>
        <w:t>9. On November 3, 2010, UFD's written allegations to the PCH were received at the CNC (pages 2235-2287).</w:t>
      </w:r>
    </w:p>
    <w:p>
      <w:r>
        <w:t>10. On December 23, 2010, the report from the CNE on the reference file was received, in application of Article 17.2, letter d), of the LDC (pages 2361-2399). On January 3, 2011, the Investigation Directorate communicated to the parties the lifting of the suspension of the maximum resolution period (pages 2401-2408).</w:t>
      </w:r>
    </w:p>
    <w:p>
      <w:r>
        <w:t>11. In accordance with the provisions of Article 33.1 of the RDC (page 2412), on January 17, 2010, the closure of the instruction phase of the file was carried out, being notified to the interested parties on that same date (pages 2413-2420).</w:t>
      </w:r>
    </w:p>
    <w:p>
      <w:r>
        <w:t>12. In accordance with the provisions of Article 50.4 of the LDC, on January 28, 2010, the parties were notified of the Proposal for Resolution from the Investigation Directorate (pages 2579-2687). The Investigation Directorate proposes that "the existence of conduct prohibited by Article 6 of Law 16/1989, of July 17, on the Defense of Competition, be declared from the entry into force of RD 1955/2000 (January 16, 2001) until the entry into force of the LDC (September 1, 2007); by Article 2 of the LDC, from September 1, 2007, until January 25, 2010; as well as by Article 102 of the TFEU, consisting of sending execution budgets for installations not reserved for the distributor and failing to provide all the information on the technical-economic conditions required by the regulations in response to requests for supply to its distribution network (new supply point or modification of the existing one) that entail the need to execute installations not reserved for the distributor."</w:t>
      </w:r>
    </w:p>
    <w:p>
      <w:r>
        <w:t>13. On February 15, 2011, a written submission of allegations to the Proposal for Resolution presented by UFD was received at the CNC (pages 2688-2761), in which a hearing before the Council of the CNC is requested.</w:t>
      </w:r>
    </w:p>
    <w:p>
      <w:r>
        <w:t>14. On February 25, 2011, a letter from APIEM was received at the CNC declaring its agreement with the Proposal for Resolution (page 2832).</w:t>
      </w:r>
    </w:p>
    <w:p>
      <w:r>
        <w:t>15. On February 25, 2011, in accordance with Article 50.5 of the Law on Defense of Competition and Article 34.2 of the Competition Defense Regulation, the Proposal Report was elevated to the Council of the CNC along with the file.</w:t>
      </w:r>
    </w:p>
    <w:p>
      <w:r>
        <w:t>16. On May 24, 2011, a letter from UFD was received at the CNC providing the Draft Royal Decree regulating the connection to networks of small power electricity production installations, in view of which it ratifies its theses and requests the dismissal of the file.</w:t>
      </w:r>
    </w:p>
    <w:p>
      <w:r>
        <w:t>17. On June 16, 2011, the Council issued an Agreement informing the parties that, on June 8, 2011, it was agreed to send to the European Commission the information provided for by Article 11.4 of Regulation (EC) No. 1/2003 of the Council, of December 16, 2002, relating to the application of the competition rules provided for in Articles 101 and 102 of the Treaty, which took place on June 10, 2011. After the 30-day period referred to in the last mentioned provision, by Agreement of July 13, 2011, and effective from July 11, 2011, the Council resolved to lift the suspension of the computation of the maximum period for resolving the reference file, which was notified to the parties.</w:t>
      </w:r>
    </w:p>
    <w:p>
      <w:r>
        <w:rPr>
          <w:b/>
        </w:rPr>
        <w:t>[Pages 4–6]</w:t>
      </w:r>
    </w:p>
    <w:p>
      <w:r>
        <w:t xml:space="preserve">18. The Council of the CNC deliberated and concluded this Resolution on September 19, 2011.  </w:t>
        <w:br/>
        <w:t xml:space="preserve">19. The interested parties are:  </w:t>
        <w:br/>
        <w:t xml:space="preserve">- Professional Association of Electrical Installation and Telecommunications Entrepreneurs of Madrid (APIEM)  </w:t>
        <w:br/>
        <w:t xml:space="preserve">- National Federation of Electrical Installation and Telecommunications Entrepreneurs of Spain (FENIE)  </w:t>
        <w:br/>
        <w:t>- Unión Fenosa Distribución, S.A.</w:t>
      </w:r>
    </w:p>
    <w:p>
      <w:r>
        <w:t xml:space="preserve">PROVEN FACTS  </w:t>
        <w:br/>
        <w:t xml:space="preserve">1. THE PARTIES  </w:t>
        <w:br/>
        <w:t xml:space="preserve">1.1 National Federation of Electrical Installation and Telecommunications Entrepreneurs of Spain (FENIE)  </w:t>
        <w:br/>
        <w:t>FENIE is a federation that groups a total of 13,000 legally authorized companies for the development of electrical installation activities throughout Spain (80% of the total) and to which 47 provincial and regional associations belong. Its fundamental purposes according to Article 6 of its Statutes are, among others, to coordinate, inform, and study the technical, economic, social, and training conditions of installation companies, establish and promote contacts between companies and associations, and represent and defend the profession, associations, and the sector (folios 1-3).</w:t>
      </w:r>
    </w:p>
    <w:p>
      <w:r>
        <w:t xml:space="preserve">1.2 Professional Association of Electrical Installation and Telecommunications Entrepreneurs of Madrid (APIEM)  </w:t>
        <w:br/>
        <w:t>APIEM is an association that represents 90% of the electrical installation and telecommunications companies in Madrid. The main purposes of this Association are, among others, to serve the general interests of electrical installation and telecommunications companies in the Autonomous Community of Madrid; promote innovation, quality, and development of the associated companies for the benefit of society as a whole; and ensure at all times the right of citizens to have an adequate, efficient, and safe electrical and telecommunications installation.</w:t>
      </w:r>
    </w:p>
    <w:p>
      <w:r>
        <w:t xml:space="preserve">1.3 Unión Fenosa Distribución, S.A. (UFD)  </w:t>
        <w:br/>
        <w:t xml:space="preserve">Unión Fenosa Distribución, S.A. has been a subsidiary of the Unión Fenosa Group and is currently a company of the Gas Natural Fenosa Group. Unión Fenosa Distribución, S.A. was absorbed on December 31, 2010, by the company Gas Natural Distribución Eléctrica S.A., changing its name to Unión Fenosa Distribución, S.A.  </w:t>
        <w:br/>
        <w:t>Unión Fenosa Distribución, S.A. is dedicated to the distribution of electrical energy in the Autonomous Communities of Galicia, Castilla y León, Castilla-La Mancha, and Madrid, where the company has an infrastructure of approximately 49,831 km of network to serve a customer base of over 5,500,000 clients. The business lines of the Gas Natural Fenosa Group include all activities inherent to the electricity sector: It operates in the liberalized markets of generation and commercialization and in the regulated market of electricity distribution.</w:t>
      </w:r>
    </w:p>
    <w:p>
      <w:r>
        <w:t xml:space="preserve">2. REGULATORY FRAMEWORK  </w:t>
        <w:br/>
        <w:t xml:space="preserve">2.1. General Framework  </w:t>
        <w:br/>
        <w:t xml:space="preserve">The electricity sector in Spain is regulated by Law 54/1997 of the Electricity Sector (LSE) and its implementing regulations. Article 39.1 of the LSE defines the distribution activity as "the transport of electricity through distribution networks in order to supply it to customers." According to Article 9 of the LSE, distributors "are those commercial companies that have the function of distributing electrical energy, as well as constructing, maintaining, and operating distribution facilities intended to place energy at consumption points."  </w:t>
        <w:br/>
        <w:t xml:space="preserve">According to Article 39 of the LSE, distributors are the managers of the distribution networks they operate. As managers of the networks, they are responsible for the operation, maintenance, and development of their distribution network, as well as, where applicable, their interconnections with other networks, and for ensuring that their network has the capacity to accommodate, in the long term, a reasonable demand for electricity distribution.  </w:t>
        <w:br/>
        <w:t xml:space="preserve">As indicated in the preamble of the LSE, "Transport and distribution are liberalized through the generalization of third-party access to the networks. Ownership of the networks does not guarantee their exclusive use. The economic efficiency derived from the existence of a single network, the basic root of the so-called natural monopoly, is made available to the different subjects of the electricity system and consumers. The remuneration for transport and distribution will continue to be set administratively, thus avoiding possible abuse of dominant positions determined by the existence of a single network. Likewise, to ensure the transparency of this remuneration, a legal separation is established for electricity companies between regulated and unregulated activities concerning their economic remuneration."  </w:t>
        <w:br/>
        <w:t>The above is reflected in the configuration of distribution as a regulated activity (art. 11 LSE), in the prohibition for distribution companies to develop unregulated activities, and in the accounting, legal, and functional independence of distribution companies from their parent company in case it carries out unregulated activities (arts. 14 and 20 LSE), in the regulation of remuneration for distribution activity (art. 16 LSE) and access tolls to the networks (art. 17 LSE), and in the prohibition of discrimination in third-party access to the networks (art. 42 LSE).</w:t>
      </w:r>
    </w:p>
    <w:p>
      <w:r>
        <w:t xml:space="preserve">2.2. Extension Installations and Other Necessary Works for Connection to the Distribution Network  </w:t>
        <w:br/>
        <w:t xml:space="preserve">Article 41 of the LSE establishes the obligations and rights of distribution companies, among which stands out the obligation to "Attend to access and connection requests to their networks on equal terms and formalize access contracts in accordance with what is established by the Administration." Article 42 of the LSE states that "To request access to the distribution networks, a connection point must be previously available under the technically established conditions."  </w:t>
        <w:br/>
        <w:t xml:space="preserve">The conditions and procedures for connecting consumers to the distribution networks are developed in Royal Decree 1955/2000, of December 1, which regulates the activities of transport, distribution, commercialization, supply, and authorization procedures for electrical installations. The connection regime has been partially modified by Royal Decree 222/2008, of February 15, which establishes the remuneration regime for the activity of electricity distribution.  </w:t>
        <w:br/>
        <w:t>The necessary works that allow connection to the distribution network are classified, according to Articles 44, 45, 47, and 50 of RD 1955/2000, into extension and connection activities. In addition, there are other works that the distributor must carry out. The following are described:</w:t>
      </w:r>
    </w:p>
    <w:p>
      <w:r>
        <w:t xml:space="preserve">2.2.1. Extension Installations  </w:t>
        <w:br/>
        <w:t xml:space="preserve">They include all electrical infrastructures between the existing distribution network and the first element owned by the applicant that must be carried out when requesting a new supply or expanding an existing one.  </w:t>
        <w:br/>
        <w:t xml:space="preserve">RD 1955/2000 differentiates two types of extension installations based on the power and urban classification of the land:  </w:t>
        <w:br/>
        <w:t xml:space="preserve">- Extension installations with requested power not exceeding 50kW in low voltage (BT) or 250kW in high voltage (AT), when the supply is located on urban land that has the condition of building land: correspond to the distribution company, which is obliged to carry them out and for which it has the right to charge the regulated extension fees (Article 45 of RD 1955/2000).  </w:t>
        <w:br/>
        <w:t xml:space="preserve">- Extension installations located on urban land but exceeding the previous power limits, and those located on urban land without the condition of building land, developable land, and non-developable land: their execution corresponds to the owner/applicant at their own cost (Article 45 of RD 1955/2000).  </w:t>
        <w:br/>
        <w:t xml:space="preserve">The previous classification of connection works has been modified by RD 222/2008 concerning extension activities. Thus, Articles 9 and 10 of the aforementioned RD distinguish between two types of extension installations of the distribution network:  </w:t>
        <w:br/>
        <w:t xml:space="preserve">- Natural extension of the network: The natural extension of distribution networks refers to the reinforcements or adaptations of existing distribution installations to which the necessary infrastructures for attending to new supplies or the expansion of existing ones are connected, which respond to the vegetative growth of demand. Such infrastructures must be carried out and funded by the distribution company responsible for them in the area and are recognized in the remuneration corresponding to each distributor. For these purposes, vegetative growth of demand is understood as that approved by the Autonomous Communities and the cities of Ceuta and Melilla in the investment and development plans for the networks proposed by the distribution companies.  </w:t>
        <w:br/>
        <w:t>- New network extension installations: New network extension installations refer to the installations or network infrastructures that must be carried out to attend to requests for new supplies or the expansion of existing ones, which do not respond to vegetative growth of demand, from the existing distribution network to the first element owned by the applicant, under the regulatory conditions of safety, reliability, and quality of service. Within the new network extension installations, RD 222/2008 distinguishes two categories:</w:t>
      </w:r>
    </w:p>
    <w:p>
      <w:r>
        <w:rPr>
          <w:b/>
        </w:rPr>
        <w:t>[Pages 7–9]</w:t>
      </w:r>
    </w:p>
    <w:p>
      <w:r>
        <w:t>the installation being carried out by UF.</w:t>
      </w:r>
    </w:p>
    <w:p>
      <w:r>
        <w:t xml:space="preserve">• The new network extension installations necessary to meet new supplies or the expansion of existing ones of up to 100 kW in low voltage and 250 kW in high voltage, in urbanized land that prior to the need for electrical supply has the facilities and services required by urban legislation, will be carried out by the local distribution company, leading to the application of the corresponding extension rights as long as they are not included in an investment plan. </w:t>
        <w:br/>
        <w:t>• For the remaining new extension installations necessary to meet requests for new supplies or the expansion of existing ones, the cost will be borne by the applicants, without the collection of extension rights being applicable.</w:t>
      </w:r>
    </w:p>
    <w:p>
      <w:r>
        <w:t>2.2.2. Hook-up Operation</w:t>
        <w:br/>
        <w:t>This is the electrical coupling operation of the receiving installation owned by the user to the network of the distribution company, which must carry out this operation under its responsibility, for which the consumer must pay the corresponding regulated right to the distribution company (Article 50 of RD 1955/2000).</w:t>
      </w:r>
    </w:p>
    <w:p>
      <w:r>
        <w:t>2.2.3. Other Regulated Operations</w:t>
        <w:br/>
        <w:t>There are other operations necessary to proceed with the supply of electricity to the applicant whose execution is reserved for the distributor and which, where applicable, may give rise to the payment of regulated rights. Among these activities are access, connection, and verification of installations. According to Article 10 of RD 222/2008, the regulated rights derived from these works, together with the extension rights, constitute the connection rights.</w:t>
      </w:r>
    </w:p>
    <w:p>
      <w:r>
        <w:t>Finally, the regulations provide for the possibility that the distribution company reserves the execution of certain works for reasons of safety and quality of supply (when so determined in the technical and safety regulations, as well as those established by the distribution company and approved by the competent Administration), which primarily occurs when these are carried out under tension or in discharge. These works may consist of:</w:t>
        <w:br/>
        <w:t>- The junction and connection to the distribution network.</w:t>
        <w:br/>
        <w:t>- The adaptation, expansion, improvement, or modification of the distributor's service network.</w:t>
      </w:r>
    </w:p>
    <w:p>
      <w:r>
        <w:t>Therefore, as concluded by the Directorate of Investigation: “… the network extension installations can be classified between those reserved for the distributor (hook-up, access, connection, verification, and, in certain cases, extension) and those not reserved for the distributor (extension in certain cases). When there are installations not reserved for the distributor, the supply applicant may contract for their execution with any authorized installer, in accordance with the provisions of Article 22 of RD 842/2002, of August 2, which approves the Electrotechnical Regulation for Low Voltage. In any case, if an installer not affiliated with the distributor carries out the extension installations, the local distributor must perform the access, connection, hook-up, and verification tasks, ensuring that the installation meets the requirements set forth by the regulations and the specific requirements of each distribution network.”</w:t>
      </w:r>
    </w:p>
    <w:p>
      <w:r>
        <w:t>2.2.4. Distributor's Obligations Upon a Supply Request</w:t>
        <w:br/>
        <w:t>When the customer wants to register a new supply or increase the power of an existing one, they need to contact the distributor in their area and request the supply. The customer can make such a request personally or through a representative. According to current regulations (Article 44.1.a of RD 1955/2000 and Article 9.2 of RD 222/2008), in these cases, the representative is considered the "applicant."</w:t>
      </w:r>
    </w:p>
    <w:p>
      <w:r>
        <w:t>According to Article 103.2.A of RD 1955/2000, after receiving a request for electricity supply, the local distribution company must analyze the request and send the applicant, within the established deadlines, the supply point and the technical-economic conditions to meet the supply request. In particular, the aforementioned article states that “(…) The distribution companies, within the previously indicated deadlines, will provide the applicants with a detailed justification of the connection rights to be settled in writing (…)”.</w:t>
      </w:r>
    </w:p>
    <w:p>
      <w:r>
        <w:t>The connection rights, defined in Article 44 of RD 1955/2000, include extension rights (economic compensation to be paid by the applicant for a new supply, or for the increase of power of an existing one, for the new network extension installations that are the responsibility of the distribution company) and access rights (the payment of which is due, in any case, for the incorporation of the new supply into the network).</w:t>
      </w:r>
    </w:p>
    <w:p>
      <w:r>
        <w:t>In any case, the connection rights are regulated rights. RD 1955/2000 establishes in its Article 44.2 that “the connection rights will be unique for the entire national territory,” while Article 10 of RD 222/2008, which modifies the previous one, determines that the amounts to be paid for connection rights shall be set by the Autonomous Communities and the cities of Ceuta and Melilla within a margin of +/- 5% of the rights established in the ministerial order that sets the economic regime of such rights.</w:t>
      </w:r>
    </w:p>
    <w:p>
      <w:r>
        <w:t>Article 9 of RD 222/2008 also refers to the technical-economic conditions by stating that, in all cases of new network extension installations, the network manager must determine the technical-economic conditions regarding the voltage level, the connection point, and the electrical supply solution. Furthermore, it indicates in its third section that, in the case of extension installations executed at the applicant's expense, the cost will be borne by the applicant, based on the technical and economic conditions, without the collection of extension rights being applicable.</w:t>
      </w:r>
    </w:p>
    <w:p>
      <w:r>
        <w:t>3. FACTS PROVEN BY THE DIRECTORATE OF INVESTIGATION</w:t>
        <w:br/>
        <w:t>The Directorate of Investigation considers the following facts proven, which are recorded in the Specification of Facts and are transcribed here:</w:t>
        <w:br/>
        <w:t xml:space="preserve">29. UF is a company that operates in the electricity distribution market in Galicia under a practical monopoly (94% market share), as well as in certain distribution areas in Castilla-La Mancha, Castilla y León, and Madrid. As the owner of the electricity distribution network, UF must respond to requests to provide energy supply to any new user who requires it in the areas where its network extends, under the regulatory terms provided, in accordance with Article 41.1.i of RD 1955/2000. </w:t>
        <w:br/>
        <w:t>30. Those interested in obtaining a new electricity supply or expanding an existing one must submit requests to UF, having three ways to make such a request (folios 139, 310, and 676): by phone, via the Internet, or in person at UF's offices. In all cases, the following data is required (folios 458-461):</w:t>
        <w:br/>
        <w:t>General Data:</w:t>
        <w:br/>
        <w:t>- Applicant: Natural or legal person requesting the supply. It does not have to be the one who ultimately contracts it. Name, address, phone number, ID number.</w:t>
        <w:br/>
        <w:t>- Request Address: Province, municipality, address, cadastral reference.</w:t>
        <w:br/>
        <w:t>- Owner: Name, address, ID number, phone number.</w:t>
        <w:br/>
        <w:t>- Payer: Name, address, ID number, phone number.</w:t>
        <w:br/>
        <w:t>- Shipping Address: Name, address, ID number, phone number.</w:t>
        <w:br/>
        <w:t xml:space="preserve">Technical Data: Power, residential use, industrial, lighting, etc. The data varies depending on the type of request. According to UF, these are technical data that contain the necessary information for the local distribution network manager to carry out the corresponding technical-economic studies related to the request. </w:t>
        <w:br/>
        <w:t xml:space="preserve">31. Once the request is received, UF must evaluate it and send in response the technical-economic conditions. In this regard, the way UF acted during the period 2000-2009 has been analyzed, the main features of which are described below. </w:t>
        <w:br/>
        <w:t>a) Content of UF's Responses to Supply Requests</w:t>
        <w:br/>
        <w:t xml:space="preserve">32. After receiving the request, UF sends a communication to the applicant, whether they are the final customer or an electrical installer (folios 6, 140, 261, 339, and 678). </w:t>
        <w:br/>
        <w:t xml:space="preserve">33. From the analysis of the documents provided by the complainant (folios 169-187 and 306-308), it can be concluded that, in that communication, UF does not send the technical conditions of the requested supply (especially, the supply point), but does send a budget for the execution of all the installation works involved in the supply, including the installation works not reserved for the distributor. </w:t>
        <w:br/>
        <w:t xml:space="preserve">34. In this regard, UF confirms that sending a budget that includes the entirety of the work to be done (including the part not reserved for the distributor) is its usual procedure, according to its response to the information request of April 7, 2009 (folios 134 and 142): “In the other cases (cases where the execution of the installation is not mandatory for the distributor), the applicant is informed that they must execute the work themselves, designating an authorized installer for this purpose. The technical-economic conditions sent to the applicant include all the works to be carried out, according to UF's analysis and assessment.” </w:t>
        <w:br/>
        <w:t xml:space="preserve">35. UF argues that according to its usual procedure, in its communication to the applicant, it indicates that they must expressly state their intention to carry out the works (those not reserved for the distributor) on their own so that a new detailed budget can be prepared that only incorporates the part of the work that the customer has decided to be executed by UF. UF provides a model letter in this regard (folios 450-451, 474-475, and 607-608). </w:t>
        <w:br/>
        <w:t>36. The model letter provided by UF does not match the text of the actual letters sent by UF that are in the file (folios 169-187, 306-308, 1684-1687, 1871-1872, 1882, and 1896-1898). In them, contrary to what UF indicates, there is not only no warning that part of the installation could be executed by any other authorized installer, but the language used seems to suggest the obligation of the installation being carried out by UF.</w:t>
      </w:r>
    </w:p>
    <w:p>
      <w:r>
        <w:rPr>
          <w:b/>
        </w:rPr>
        <w:t>[Pages 10–12]</w:t>
      </w:r>
    </w:p>
    <w:p>
      <w:r>
        <w:t xml:space="preserve">work with UF. Indeed, the 6 letters attached to the complaint, as well as those provided by UF itself, include the following standard paragraph:  </w:t>
        <w:br/>
        <w:t xml:space="preserve">"After having carried out the corresponding technical-economic study, we inform you that in order to attend to your request, you must pay the amount of [corresponding amount in each case] euros plus the applicable VAT at the time of payment, applied to the attached budget in accordance with Royal Decree 1955/2000 of December 1 on Electrical Connections. The aforementioned amount can be paid at any of our commercial offices" (page 169).  </w:t>
        <w:br/>
        <w:t xml:space="preserve">37. UF has also provided a model letter in response to supply requests for extension installations reserved for the distributor (page 606). This model does coincide with the actual letters sent to the applicants that are in the file (pages 169-187, 306-308, 1684-1687, 1871-1872, 1882, and 1896-1898).  </w:t>
        <w:br/>
        <w:t xml:space="preserve">38. This Investigation Directorate requested from UF on April 8, 2010, a copy of the first 25 requests for electrical supply from each year between 2000 and 2009, as well as all subsequent communications. According to the response provided, UF does not retain copies of such documents (page 455). On October 1, 2010, UF submitted a limited number of these communications (pages 1414-2063).  </w:t>
        <w:br/>
        <w:t xml:space="preserve">39. Finally, it is evidenced that only when the client expressly communicates to UF their intention to carry out the work on their own, does UF send them the supply point and the rest of the necessary technical information (pages 451, 478, 504, 509, 568, 577, 582, 1683-1688, 1735-1736, 1780-1784, and 1807-1808).  </w:t>
        <w:br/>
        <w:t xml:space="preserve">b) Degree of acceptance of the installation budgets sent by UF  </w:t>
        <w:br/>
        <w:t xml:space="preserve">40. Between the years 2004 and 2009, UF attended to 190,426 supply requests that included connection works. Of these, nearly [30-40]% involved exclusively connection works reserved for the distributor. In all other supplies, which include connection works not reserved for the distributor, UF sent a budget for the execution of all connection works (both reserved and non-reserved), with the non-reserved being accepted in [50-60]% of cases [70-80]% in 2009 (pages 451-454).  </w:t>
        <w:br/>
        <w:t>10</w:t>
      </w:r>
    </w:p>
    <w:p>
      <w:r>
        <w:t xml:space="preserve">BUDGET SUBMISSION  </w:t>
        <w:br/>
        <w:t xml:space="preserve">YEAR SUPPLY REQUESTS PROCESSED*  </w:t>
        <w:br/>
        <w:t xml:space="preserve">BUDGET ACCEPTED  </w:t>
        <w:br/>
        <w:t xml:space="preserve">Execution […]  </w:t>
        <w:br/>
        <w:t xml:space="preserve">n.a.  </w:t>
        <w:br/>
        <w:t xml:space="preserve">Mandatory [30-40]%  </w:t>
        <w:br/>
        <w:t xml:space="preserve">2004 […]  </w:t>
        <w:br/>
        <w:t xml:space="preserve">Execution […] […]  </w:t>
        <w:br/>
        <w:t xml:space="preserve">Applicant [60-70]% [50-60]%  </w:t>
        <w:br/>
        <w:t xml:space="preserve">Execution […]  </w:t>
        <w:br/>
        <w:t xml:space="preserve">n.a.  </w:t>
        <w:br/>
        <w:t xml:space="preserve">Mandatory [30-40]%  </w:t>
        <w:br/>
        <w:t xml:space="preserve">2005 […]  </w:t>
        <w:br/>
        <w:t xml:space="preserve">Execution […] […]  </w:t>
        <w:br/>
        <w:t xml:space="preserve">Applicant [60-70]% [50-60]%  </w:t>
        <w:br/>
        <w:t xml:space="preserve">Execution […]  </w:t>
        <w:br/>
        <w:t xml:space="preserve">n.a.  </w:t>
        <w:br/>
        <w:t xml:space="preserve">Mandatory [40-50]%  </w:t>
        <w:br/>
        <w:t xml:space="preserve">2006 […]  </w:t>
        <w:br/>
        <w:t xml:space="preserve">[…] […]  </w:t>
        <w:br/>
        <w:t xml:space="preserve">Execution  </w:t>
        <w:br/>
        <w:t xml:space="preserve">Applicant [50-60]% [50-60]%  </w:t>
        <w:br/>
        <w:t xml:space="preserve">100%  </w:t>
        <w:br/>
        <w:t xml:space="preserve">Execution […]  </w:t>
        <w:br/>
        <w:t xml:space="preserve">n.a.  </w:t>
        <w:br/>
        <w:t xml:space="preserve">Mandatory [40-50]%  </w:t>
        <w:br/>
        <w:t xml:space="preserve">2007 […]  </w:t>
        <w:br/>
        <w:t xml:space="preserve">Execution […] […]  </w:t>
        <w:br/>
        <w:t xml:space="preserve">Applicant [50-60]% [50-60]%  </w:t>
        <w:br/>
        <w:t xml:space="preserve">Execution […]  </w:t>
        <w:br/>
        <w:t xml:space="preserve">n.a.  </w:t>
        <w:br/>
        <w:t xml:space="preserve">Mandatory [30-40]%  </w:t>
        <w:br/>
        <w:t xml:space="preserve">2008 […]  </w:t>
        <w:br/>
        <w:t xml:space="preserve">Execution […] […]  </w:t>
        <w:br/>
        <w:t xml:space="preserve">Applicant [60-70]% [50-60]%  </w:t>
        <w:br/>
        <w:t xml:space="preserve">Execution […]  </w:t>
        <w:br/>
        <w:t xml:space="preserve">n.a.  </w:t>
        <w:br/>
        <w:t xml:space="preserve">Mandatory [30-40]%  </w:t>
        <w:br/>
        <w:t xml:space="preserve">2009 […]  </w:t>
        <w:br/>
        <w:t xml:space="preserve">Execution […] […]  </w:t>
        <w:br/>
        <w:t xml:space="preserve">Applicant [60-70]% [70-80]%  </w:t>
        <w:br/>
        <w:t xml:space="preserve">* From the total requests, those not involving connection costs for the client are excluded  </w:t>
        <w:br/>
        <w:t xml:space="preserve">Source: UF  </w:t>
        <w:br/>
        <w:t xml:space="preserve">The Investigation Directorate breaks down this data by Autonomous Communities in section 132 of its Proposal for Resolution:  </w:t>
        <w:br/>
        <w:t xml:space="preserve">(131) To the extent that the effects of UF's conduct are concentrated primarily in the distribution areas in which it operates and in the bordering areas, the relevant market share refers to its distribution areas. The following table shows the increasing shares of UF disaggregated by year and in its distribution areas in each Autonomous Community:  </w:t>
        <w:br/>
        <w:t>11</w:t>
      </w:r>
    </w:p>
    <w:p>
      <w:r>
        <w:t xml:space="preserve">UF MARKET SHARE IN ITS DISTRIBUTION AREA BY AUTONOMOUS COMMUNITY  </w:t>
        <w:br/>
        <w:t xml:space="preserve">YEAR Castilla-León Castilla-La Mancha Madrid Galicia Total  </w:t>
        <w:br/>
        <w:t xml:space="preserve">2004 [40-50]% [40-50]% [50-60]% [50-60]% [50-60]%  </w:t>
        <w:br/>
        <w:t xml:space="preserve">2005 [40-50]% [40-50]% [50-60]% [50-60]% [50-60]%  </w:t>
        <w:br/>
        <w:t xml:space="preserve">2006 [40-50]% [40-50]% [50-60]% [50-60]% [50-60]%  </w:t>
        <w:br/>
        <w:t xml:space="preserve">2007 [40-50]% [50-60]% [40-50]% [50-60]% [50-60]%  </w:t>
        <w:br/>
        <w:t xml:space="preserve">2008 [60-70]% [60-70]% [40-50]% [40-50]% [50-60]%  </w:t>
        <w:br/>
        <w:t xml:space="preserve">2009 [80-90]% [80-90]% [70-80]% [60-70]% [70-80]%  </w:t>
        <w:br/>
        <w:t xml:space="preserve">Source: UF  </w:t>
        <w:br/>
        <w:t xml:space="preserve">The Investigation Directorate also highlights in section 132 of the Proposal for Resolution that "However, the market for non-reserved extension installations for the distributor has a national dimension, with UF's approximate share in it being 13%." It clarifies that this share has been obtained by approximation based on MITyC data regarding the number of supply points of each distributor in the year 2008.  </w:t>
        <w:br/>
        <w:t xml:space="preserve">41. UF's billing for the execution of non-reserved extension installations of the distribution network in each of the considered years amounts to:  </w:t>
        <w:br/>
        <w:t xml:space="preserve">YEAR TURNOVER (€)  </w:t>
        <w:br/>
        <w:t xml:space="preserve">With Civil Works  </w:t>
        <w:br/>
        <w:t xml:space="preserve">2004 […]  </w:t>
        <w:br/>
        <w:t xml:space="preserve">2005 […]  </w:t>
        <w:br/>
        <w:t xml:space="preserve">2006 […]  </w:t>
        <w:br/>
        <w:t xml:space="preserve">2007 […]  </w:t>
        <w:br/>
        <w:t xml:space="preserve">2008 […]  </w:t>
        <w:br/>
        <w:t xml:space="preserve">2009 […]  </w:t>
        <w:br/>
        <w:t xml:space="preserve">Total […]  </w:t>
        <w:br/>
        <w:t xml:space="preserve">Source: UF  </w:t>
        <w:br/>
        <w:t xml:space="preserve">42. UF does not directly carry out installation works but subcontracts them to installation companies. Similarly, UF subcontracts various companies for the execution of the connections it has reserved as a distributor (at a rate). In fact, it lacks electrical installers on staff, and the subcontracting encompasses both the execution works of connections (both mandatory and those executed at the applicant's expense, natural network extensions, and new network extensions, etc.) as well as the performance of operation and maintenance work (pages 455, 628, 651-652). The Investigation Directorate clarifies that it refers to "operation and maintenance work" as "Installation and assembly works of connections, new supplies, and expansion of existing ones, review of link installations, placement or replacement of energy control elements, modifications of the network, development works, telecontrol points, live work on the Medium Voltage network, etc."  </w:t>
        <w:br/>
        <w:t>43. This subcontracting is carried out directly between the distribution company and the installation companies, with no direct contact existing between the subcontracted company and the</w:t>
      </w:r>
    </w:p>
    <w:p>
      <w:r>
        <w:rPr>
          <w:b/>
        </w:rPr>
        <w:t>[Pages 13–15]</w:t>
      </w:r>
    </w:p>
    <w:p>
      <w:r>
        <w:t>estaba disponible para otros instaladores. En consecuencia, UFD se encontraba en una posición de ventaja que le permitía influir en la decisión del cliente sobre la elección del instalador, lo que podría considerarse como un abuso de su posición dominante en el mercado de instalaciones eléctricas no reservadas al distribuidor.</w:t>
      </w:r>
    </w:p>
    <w:p>
      <w:r>
        <w:t>TERCERO. Conclusiones</w:t>
        <w:br/>
        <w:t>A la luz de lo expuesto, el Consejo concluye que UFD ha abusado de su posición dominante en el mercado de redes de distribución eléctrica al no proporcionar la información necesaria para que los clientes pudieran acceder a otros instaladores en igualdad de condiciones. Esta conducta, además de infringir la normativa de defensa de la competencia, afecta negativamente a la competencia en el mercado de instalaciones eléctricas, limitando las opciones de los consumidores y favoreciendo a la empresa distribuidora en detrimento de otros operadores del mercado.</w:t>
      </w:r>
    </w:p>
    <w:p>
      <w:r>
        <w:t>Por todo lo anterior, el Consejo considera que es necesario adoptar medidas correctivas para restablecer la competencia en el mercado y garantizar que los consumidores tengan acceso a información clara y completa sobre sus opciones de instalación.</w:t>
      </w:r>
    </w:p>
    <w:p>
      <w:r>
        <w:rPr>
          <w:b/>
        </w:rPr>
        <w:t>[Pages 16–18]</w:t>
      </w:r>
    </w:p>
    <w:p>
      <w:r>
        <w:t>complaint that are necessary for him to understand the subject matter of the investigation and to exercise his right of defense.”</w:t>
      </w:r>
    </w:p>
    <w:p>
      <w:r>
        <w:t>In this regard, it is necessary to analyze whether the lack of notification of the complaint during the reserved information period and the provision of information to the Directorate of Investigation without knowledge of the alleged conduct constitutes a violation of UFD's right to defense.</w:t>
      </w:r>
    </w:p>
    <w:p>
      <w:r>
        <w:t>The Directorate of Investigation argues that the reserved information period is a preliminary phase aimed at gathering information to determine whether there are sufficient grounds to initiate a sanctioning procedure. Therefore, it contends that the lack of notification does not infringe upon UFD's rights, as the purpose of this phase is to protect the integrity of the investigation.</w:t>
      </w:r>
    </w:p>
    <w:p>
      <w:r>
        <w:t>However, UFD maintains that the duration of the reserved information period, during which it was not informed of the allegations against it, has been improperly included as part of the infringement period. UFD asserts that this situation has hindered its ability to adequately defend itself against the accusations.</w:t>
      </w:r>
    </w:p>
    <w:p>
      <w:r>
        <w:t>In light of the above, it is essential to clarify that the right to defense is a fundamental principle that must be respected throughout the entire administrative procedure. The lack of notification of the complaint during the reserved information period could potentially undermine UFD's ability to prepare its defense effectively.</w:t>
      </w:r>
    </w:p>
    <w:p>
      <w:r>
        <w:t>Therefore, it is necessary to assess whether the actions taken by the Directorate of Investigation during this period were in compliance with the legal requirements established in the applicable regulations. If it is determined that UFD's right to defense was indeed violated, it may be appropriate to declare the procedure null and void.</w:t>
      </w:r>
    </w:p>
    <w:p>
      <w:r>
        <w:t>FIFTH. On the merits of the case</w:t>
      </w:r>
    </w:p>
    <w:p>
      <w:r>
        <w:t>In its allegations, UFD has raised several arguments regarding the alleged anti-competitive conduct attributed to it. It is essential to analyze these arguments in detail to determine whether UFD's actions constitute a violation of competition law.</w:t>
      </w:r>
    </w:p>
    <w:p>
      <w:r>
        <w:t>First, UFD argues that the evidence on which the accusations are based lacks the rigor required for a sanctioning procedure. It claims that the Directorate of Investigation has extrapolated conduct from communications provided by FENIE for the year 2006 to an eight-year period without considering the evidence presented by UFD in its defense.</w:t>
      </w:r>
    </w:p>
    <w:p>
      <w:r>
        <w:t>Second, UFD contends that the regulations do not clearly delineate the activities that distributors are required to perform and those that any authorized installer can carry out. It emphasizes that this lack of clarity has led to confusion regarding the responsibilities of each party in the installation process.</w:t>
      </w:r>
    </w:p>
    <w:p>
      <w:r>
        <w:t>Third, UFD asserts that its conduct cannot be deemed abusive, as the sending of the execution budget for non-reserved extension installations does not have an anti-competitive nature. It argues that this action is a logical consequence of its obligations under sectoral regulations and does not exceed what is required by law.</w:t>
      </w:r>
    </w:p>
    <w:p>
      <w:r>
        <w:t>In conclusion, UFD's arguments raise significant questions regarding the interpretation of competition law in the context of the electricity distribution sector. It is crucial to carefully evaluate the evidence and legal framework to determine whether UFD's actions constitute a violation of competition law or whether they fall within the permissible scope of its obligations as a distributor.</w:t>
      </w:r>
    </w:p>
    <w:p>
      <w:r>
        <w:rPr>
          <w:b/>
        </w:rPr>
        <w:t>[Pages 19–21]</w:t>
      </w:r>
    </w:p>
    <w:p>
      <w:r>
        <w:t>obligados a contratar con UFD, lo que refuerza la posición de dominio de esta última. La conducta de UFD, al remitir presupuestos que incluyen la parte no reservada y al no proporcionar la información técnica completa, crea una barrera de entrada para otros instaladores, lo que resulta en una distorsión del mercado.</w:t>
      </w:r>
    </w:p>
    <w:p>
      <w:r>
        <w:t>SIXTH. Conclusiones</w:t>
      </w:r>
    </w:p>
    <w:p>
      <w:r>
        <w:t>En virtud de lo expuesto, se concluye que UFD ha incurrido en una conducta abusiva en el mercado de instalaciones eléctricas no reservadas al distribuidor, en contravención de lo dispuesto en la LDC y el artículo 102 del TFUE. Esta conducta no solo afecta a la competencia en el mercado, sino que también perjudica a los consumidores al limitar sus opciones y mantener precios artificialmente altos.</w:t>
      </w:r>
    </w:p>
    <w:p>
      <w:r>
        <w:t>Por lo tanto, se propone que se impongan las sanciones correspondientes a UFD por la conducta anticompetitiva descrita, así como las medidas necesarias para restablecer la competencia efectiva en el mercado de instalaciones eléctricas no reservadas.</w:t>
      </w:r>
    </w:p>
    <w:p>
      <w:r>
        <w:rPr>
          <w:b/>
        </w:rPr>
        <w:t>[Pages 22–24]</w:t>
      </w:r>
    </w:p>
    <w:p>
      <w:r>
        <w:t>los efectos habría tenido la conducta de UFD en un mercado competitivo. Sin embargo, se puede afirmar que la conducta de UFD ha tenido un impacto negativo en la competencia, ya que ha limitado las oportunidades de otros instaladores para acceder al mercado y ha distorsionado las condiciones de competencia en el sector.</w:t>
      </w:r>
    </w:p>
    <w:p>
      <w:r>
        <w:t>SÉPTIMO. Propuesta de sanción</w:t>
        <w:br/>
        <w:t>En virtud de lo expuesto, el Consejo propone imponer a UFD una multa de 10.000.000 de euros, que representa un 1% de su volumen de ventas en el ejercicio económico anterior a la resolución del Consejo, considerando la gravedad de la infracción y la duración de la misma. Esta cantidad se considera adecuada y proporcional a la naturaleza de la conducta infractora y a sus efectos en el mercado.</w:t>
      </w:r>
    </w:p>
    <w:p>
      <w:r>
        <w:t>OCTAVO. Notificación</w:t>
        <w:br/>
        <w:t>La presente resolución será notificada a UFD y se publicará en el Boletín Oficial del Estado, de conformidad con lo establecido en el artículo 19.1 del RDC. Asimismo, se informará a la Comisión Nacional de los Mercados y la Competencia para su conocimiento y efectos oportunos.</w:t>
      </w:r>
    </w:p>
    <w:p>
      <w:r>
        <w:t>NOVENO. Recursos</w:t>
        <w:br/>
        <w:t>Contra esta resolución, que pone fin a la vía administrativa, podrá interponerse recurso contencioso-administrativo ante la Audiencia Nacional en el plazo de dos meses a contar desde el día siguiente al de su notificación, de conformidad con lo dispuesto en el artículo 46 de la Ley 29/1998, de 13 de julio, reguladora de la jurisdicción contencioso-administrativa.</w:t>
      </w:r>
    </w:p>
    <w:p>
      <w:r>
        <w:rPr>
          <w:b/>
        </w:rPr>
        <w:t>[Pages 25–27]</w:t>
      </w:r>
    </w:p>
    <w:p>
      <w:r>
        <w:t>difficult to establish a counterfactual that helps us quantify the effects. That is to say, there is no scenario where the operation of the market for non-reserved electrical installations can be observed without distortion of competition to compare both situations and determine what percentage of UFD's share is due to this practice and what the price level would be in the absence of competition distortion.</w:t>
      </w:r>
    </w:p>
    <w:p>
      <w:r>
        <w:t>However, everything indicates that the conduct has had its effects. As stated in paragraph 40 of the Proven Facts by the Directorate of Investigation (included in section 3 of the Proven Facts of this Resolution), between the years 2004 and 2009, UF attended to 190,426 supply requests that included connection work. Of these, more than 60% included connection work not reserved for the distributor. UFD sent a budget for the execution of all connection works, with the non-reserved ones being accepted in [50-60]% of cases throughout the period. This percentage rises to [70-80]% in 2009.</w:t>
      </w:r>
    </w:p>
    <w:p>
      <w:r>
        <w:t>UFD argues that this increase in the percentage of accepted budgets is due to the decline in activity, because by its nature it must undertake those works that authorized installers are not willing to carry out. The Council does not consider that this argument has been sufficiently substantiated, since the decline in business should also lead authorized installers to be willing to compete for the works, even with a lower budget and under worse conditions.</w:t>
      </w:r>
    </w:p>
    <w:p>
      <w:r>
        <w:t>In any case, the percentage of non-reserved installations obtained by UFD is very high, even if the increase at the end of the period is not considered, standing at more than half of the market in terms of accepted budget. Certainly, the conduct has not led to the expulsion of installers from the market. But, as already mentioned in the previous legal foundation, the weakening of competition resulting from this conduct over the period may have led customers to contract installations at a higher cost.</w:t>
      </w:r>
    </w:p>
    <w:p>
      <w:r>
        <w:t>In light of all this, the sanction must be calculated based on the turnover that UFD has achieved in the market for non-reserved installations during the entire infringement period, as stated in paragraph 41 of the Proven Facts by the Directorate of Investigation (included in section 3 of the Proven Facts of this Resolution). The Directorate of Investigation requested this information since the year 2000; however, UFD claims that at the end of 2004, the "Service Provisions" System came into operation, making it impossible to provide the required information for the period prior to 2004. In view of this, for the purposes of calculating the sanction, it has been decided to extrapolate the turnover from the year 2004 to the three preceding years.</w:t>
      </w:r>
    </w:p>
    <w:p>
      <w:r>
        <w:t>The set of circumstances or relevant criteria under Article 10 of Law 16/1989 leads the Council to take as the basis for calculating the fine 5% of UFD's sales volume in the market for non-reserved installations, weighing the period of infringement. This translates into a base fine of €1,938,000.</w:t>
      </w:r>
    </w:p>
    <w:p>
      <w:r>
        <w:t>The Directorate of Investigation estimates that the long duration of the infringement, in addition to the resolution issued by the now-defunct TDC and the ruling of the National Court rejecting the same infringing conduct by another operator, without any changes in UFD's way of acting, should be taken into account as an aggravating factor. It also considers that the way UFD communicated its budget to customers, referencing the regulations and likening it to extension rights, could have led to greater confusion among consumers.</w:t>
      </w:r>
    </w:p>
    <w:p>
      <w:r>
        <w:t>The Council considers that it is not appropriate to apply the aggravating factors proposed by the Directorate of Investigation. The content of the communications is an element that this Council has taken into account when qualifying the conduct and is part of the declared infringement. The duration of the infringement is an intrinsic element of the basic amount of the calculated sanction and cannot be classified as an aggravating factor. Finally, the regulation does consider repetition as an aggravating factor, but it cannot be applied when the one who reoffends is not the same economic operator. In any case, the existence of such a precedent makes the existence of negligence or intent in the commission of the infringement more evident.</w:t>
      </w:r>
    </w:p>
    <w:p>
      <w:r>
        <w:t>It is not appropriate to apply the cessation of the infringement as a mitigating factor in this case, since it occurred once the sanctioning file was initiated. Nor is it appropriate to consider UFD's request that the lack of clarity of the regulatory framework be taken into account as a mitigating factor, since, as argued in the previous legal foundation, there is no regulatory uncertainty that justifies the conduct.</w:t>
      </w:r>
    </w:p>
    <w:p>
      <w:r>
        <w:t>For all the above reasons, and in view of the cited provisions and others of general application, this Council of the National Competition Commission</w:t>
      </w:r>
    </w:p>
    <w:p>
      <w:r>
        <w:t>HAS RESOLVED</w:t>
      </w:r>
    </w:p>
    <w:p>
      <w:r>
        <w:t>FIRST. To declare that in this file an infringement of Article 6 of the LDC and Article 102 of the TFEU has been proven, for which UNIÓN FENOSA DISTRIBUCIÓN S.A. is responsible, consisting of abusing its dominant position in the related market of non-reserved electrical network installations in certain geographical distribution markets.</w:t>
      </w:r>
    </w:p>
    <w:p>
      <w:r>
        <w:t>SECOND. To impose on UNIÓN FENOSA DISTRIBUCIÓN S.A. a fine of €1,938,000.</w:t>
      </w:r>
    </w:p>
    <w:p>
      <w:r>
        <w:t>THIRD. To urge the Directorate of Investigation to monitor compliance with this Resolution.</w:t>
      </w:r>
    </w:p>
    <w:p>
      <w:r>
        <w:t>Communicate this Resolution to the Directorate of Investigation of the National Competition Commission and notify the interested parties, informing them that there is no administrative appeal against it,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