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https://www.cnmc.es/expedientes/s009508</w:t>
      </w:r>
    </w:p>
    <w:p>
      <w:r>
        <w:t>Pages translated : 10</w:t>
      </w:r>
    </w:p>
    <w:p/>
    <w:p>
      <w:r>
        <w:rPr>
          <w:b/>
        </w:rPr>
        <w:t>[Pages 1–3]</w:t>
      </w:r>
    </w:p>
    <w:p>
      <w:r>
        <w:t xml:space="preserve">RESOLUTION  </w:t>
        <w:br/>
        <w:t xml:space="preserve">Exp. S/0095/08 CERÁMICAS EL PRINCIPADO  </w:t>
        <w:br/>
        <w:t xml:space="preserve">COUNCIL  </w:t>
        <w:br/>
        <w:t xml:space="preserve">Mr. Luís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September 15, 2009  </w:t>
        <w:br/>
        <w:t>The Council of the National Competition Commission (CNC), with the composition stated above, has issued the following resolution regarding the proposal to archive Exp. S/0095/08 CERÁMICAS EL PRINCIPADO processed as a result of the complaint filed by the ASTURIAN CONSTRUCTION CONFEDERATION (CAC) against CERÁMICA DEL PRINCIPADO S.L (CP) for alleged prohibited conduct consisting of maintaining a predatory pricing policy with sales at a loss.</w:t>
      </w:r>
    </w:p>
    <w:p>
      <w:r>
        <w:t xml:space="preserve">FACTUAL BACKGROUND  </w:t>
        <w:br/>
        <w:t>1. On July 30, 2008, a letter from Mr. Daniel García-Balbín Álvarez, on behalf of the ASTURIAN CONSTRUCTION CONFEDERATION (CAC), was received, filing a complaint against CERÁMICA DEL PRINCIPADO S.L for alleged prohibited conduct under Article 3 of Law 15/2007, of July 3, on Defense of Competition, in relation to Article 17 of Law 3/1991, of January 10, on Unfair Competition, consisting of maintaining a predatory pricing policy with sales at a loss in the common brick product. This predatory pricing policy implies, in the complainant's opinion, a distortion through unfair acts of competition in the defined market. It points out that through this conduct, the respondent aims to expel its competitors from that market and thus obtain a monopoly position that clearly harms the general interest. In fact, the complainant states that the two main competitors, CERAMINA MENÉNDEZ S.A (CEMESA) and CERAESPINA S.L.U. (CERAESPINA), have had to halt their production. Furthermore, it indicates that this strategy of CERÁMICA DEL PRINCIPADO responds to its desire to absorb CERAESPINA, for which it uses this pricing policy as a method of pressure. (folios 1 to 279).</w:t>
      </w:r>
    </w:p>
    <w:p>
      <w:r>
        <w:t>2. On September 17, 2008, the Directorate of Investigation made an initial request for information from both the complainant and the respondent. Considering additional information necessary, it requested information from the main brick trading companies in the area and from the national sector association, HISPALYT (folios 450 to 461). The Directorate of Investigation made new requests for information on January 26, 2009, and May 14, 2009, to certain companies to clarify data about the market and reiterated to HISPALYT the request for information in relation to the requirement of December 10, 2008. Finally, on June 16, 2009, additional complementary information was requested from the three companies based in Asturias: CEMESA, CERAESPINA, and CERÁMICA DEL PRINCIPADO, information that has been sent throughout July 2009.</w:t>
      </w:r>
    </w:p>
    <w:p>
      <w:r>
        <w:t xml:space="preserve">3. The information gathered in all these requests allows the Directorate of Investigation to draw certain conclusions regarding the reported facts and the context in which they occur, which are included in its Proposal and summarized below.  </w:t>
        <w:br/>
        <w:t xml:space="preserve">Regarding the parties, the Directorate of Investigation states the following:  </w:t>
        <w:br/>
        <w:t xml:space="preserve">(12) "The ASTURIAN CONSTRUCTION CONFEDERATION (CAC) is the confederation of entrepreneurs in the construction sector in Asturias, made up of companies or associations of companies that are habitually engaged in construction activities or that are in any of the other phases of the production cycle of the sector.  </w:t>
        <w:br/>
        <w:t xml:space="preserve">(13) It brings together three subsectors of the construction sector in the territorial scope of the Principality of Asturias, specifically, promotion, contracting, and auxiliary industry.  </w:t>
        <w:br/>
        <w:t xml:space="preserve">(14) Within the subsector of the auxiliary construction industry, there are those companies related to ceramics and, more specifically, regarding the facts of the complaint, to the manufacture and marketing of common bricks for construction.  </w:t>
        <w:br/>
        <w:t xml:space="preserve">(15) CERÁMICA DEL PRINCIPADO S.L (CP) is one of those that carry out the aforementioned activity of manufacturing and marketing bricks in the Principality of Asturias, although the geographical proximity and the lesser impact of transport costs determine that at times they market the product in Lugo and León.  </w:t>
        <w:br/>
        <w:t xml:space="preserve">(16) This company belonged to the CAC until February 11, 2008, when the Executive Committee of the CAC decided to suspend its rights as a member and proceed with its expulsion for "having repeatedly engaged in dumping" (folio 1374).  </w:t>
        <w:br/>
        <w:t xml:space="preserve">(17) Cerámica Menéndez S.A (CEMESA) and Ceraespina S.L.U. (CERAESPINA) are the other two companies that predominantly also carry out their activity in the Asturian market for the manufacture and marketing of bricks. Until 2008, and in the words of the CAC, "they competed in the relevant market for years without any conflict having existed between them to date" (folio 2).  </w:t>
        <w:br/>
        <w:t>(18) On the other hand, companies from neighboring provinces also participate in the same market, and their short distance allows for the profitability of the product marketing. In this sense, all parties from whom information has been requested have mentioned two companies located in Valencia de Don Juan, province of León, that are involved in the manufacture and marketing of common bricks in Asturias: CERANOR S.A (CERANOR) and CERAMICA VILLACE. S.L (VILLACE).</w:t>
      </w:r>
    </w:p>
    <w:p>
      <w:r>
        <w:t xml:space="preserve">Regarding the affected markets, the Directorate of Investigation concludes the following:  </w:t>
        <w:br/>
        <w:t xml:space="preserve">(19) "According to the statements made by the complainant itself, the relevant market can be considered to be the manufacture and marketing of bricks within the territorial scope of the Principality of Asturias, a market that falls within the subsector called 'auxiliary construction industry.'  </w:t>
        <w:br/>
        <w:t xml:space="preserve">(20) Broadly speaking, the affected market belongs to the family called 'bricks for cladding,' which in turn falls within the generic group called 'partitions and walls.' The specific product in which the complainant states that predatory pricing is being carried out is the so-called 'common brick, block, or hollow,' with more or less standard dimensions of 25x12x8, which, within the family 'bricks for cladding,' shares a category with the so-called 'perforated brick,' which has more limited use than the former as it is not used, due to its higher cost, in the construction of the interior partitions of the house. Therefore, although it shares a category with the perforated brick, the hollow brick cannot be replaced by the perforated brick since the former is the only one used for the construction of the aforementioned interior walls of the house. Thus, the manufacture and marketing of the common block or hollow brick constitutes the affected product market by this complaint.  </w:t>
        <w:br/>
        <w:t xml:space="preserve">(21) This market is clearly local in nature, as the marketing of the product is determined by the proximity of the works to which the product is sold. Bricks for cladding are part of a family of products with low added value and high weight, so transport costs have a strong influence on the final selling price. In fact, the normal sales radius of the product does not exceed an average of 200 km, being more common in less developed infrastructures for this distance to decrease considerably. This has been highlighted by the parties from whom information has been requested in this regard (folios 1263, 283, and 1361). According to these same sources, the transport cost represents approximately 18% of the final selling price of the product.  </w:t>
        <w:br/>
        <w:t xml:space="preserve">(22) The complainant points out that these characteristics of the relevant market imply that it has a strong oligopolistic character, with high barriers to entry and in which the companies competing in it are necessarily few (folios 2 and 286).  </w:t>
        <w:br/>
        <w:t xml:space="preserve">(23) In this market, price is the only relevant factor of competition for this product, which has no differences according to manufacturer. The reduction of profit margins is the only possibility to compete. Furthermore, it should be noted that the construction of protected housing has increased considerably, which demands greater price adjustments.  </w:t>
        <w:br/>
        <w:t>In this market, according to the information contained in the Proposal, the share of CERÁMICA DEL PRINCIPADO would not exceed 20%, remaining below or being similar to that of other competitors marketing their product in that local market, such as CERASPINA, CERANOR, or CEMESA. It is observed that the share of</w:t>
      </w:r>
    </w:p>
    <w:p>
      <w:r>
        <w:rPr>
          <w:b/>
        </w:rPr>
        <w:t>[Pages 4–6]</w:t>
      </w:r>
    </w:p>
    <w:p>
      <w:r>
        <w:t>CERAMICA DEL PRINCIPADO would have increased in the last five years, in such a way that starting from levels below 10%, it would now reach that 20%. Regarding costs, the information obtained is very disparate among companies, to the extent that the costs of some companies almost double those of other competitors (not only those of the reported company). In most cases, there are also significant differences in the costs of the same company when considered year by year. The national association of the sector, HISPALYT, to which the Directorate of Investigation has requested information, states that it has conducted a statistical study with the data received in responses to a national survey, from which, as it expresses, "it cannot certify its truthfulness and reliability" (folio 1046), since the data is based on the information provided by 113 (50%) of its associated companies that responded to a questionnaire prepared for that purpose. The prices and costs deduced from this study are, on average, higher than those declared by the companies in the region to which the Directorate of Investigation has requested information.</w:t>
      </w:r>
    </w:p>
    <w:p>
      <w:r>
        <w:t>Regarding the information on prices, the data obtained refers to average prices, although there is evidence in the file that sometimes companies sell to their customers at prices well below these. It is observed that in the last two fiscal years (2007 and 2008), the average prices of the different competitors are much more disparate than in 2006. Although the difference with the costs declared by each operator has tended to decrease during this period, it is true that in some cases a considerable margin is still recorded between the cost and the average price declared by the operator.</w:t>
      </w:r>
    </w:p>
    <w:p>
      <w:r>
        <w:t xml:space="preserve">The Directorate of Investigation highlights the context in which the analyzed behaviors occur: </w:t>
        <w:br/>
        <w:t xml:space="preserve">“(25) All the companies consulted have highlighted the severe crisis that the construction sector is going through, which is why all costs linked to that sector are currently extremely distorted, making objective analysis of the data difficult. </w:t>
        <w:br/>
        <w:t xml:space="preserve">(26) CERANOR, a competitor of CP in Asturias, has been particularly emphatic in expressing its disbelief regarding the reported facts, as its account of the current situation in the sector reflects the severe crisis it is facing and the need to "practically give away" the product due to the pressures they are subjected to by construction companies that are also affected by this situation. Thus, while the productive capacity of bricks would allow for the construction of 800,000 homes, forecasts for 2009 predict that the figure will be around 120,000, causing many factories to halt production, either definitively or with temporary employment regulation files. The prices of bricks have collapsed, and 75% of the factories in Spain will disappear, according to CERANOR. Only the most technologically advanced and productive facilities will be able to survive (folios 462 to 464 and 535).” </w:t>
        <w:br/>
        <w:t xml:space="preserve">(…) </w:t>
        <w:br/>
        <w:t>“(31) CP has pointed out (folios 305 to 307) that the enormous crisis in the construction sector has led to the progressive paralysis of its traditional market, the facing brick, and the opening of other markets that were not previously a priority in its production, such as common brick. This has led to the concentration of all production in this latter product in recent years (2007 and 2008), a concentration that has resulted in a reduction of its production cost.”</w:t>
      </w:r>
    </w:p>
    <w:p>
      <w:r>
        <w:t xml:space="preserve">4. In view of the information contained in the file and the applicable regulations, the Directorate of Investigation submitted a report to the Council on July 29, 2009, concluding the absence of indications of infringement of competition rules. The Directorate of Investigation analyzes the existence of a possible infringement of Articles 2 and 3 of Law 15/2007 in the following terms: </w:t>
        <w:br/>
        <w:t xml:space="preserve">“III.1 Abuse of Dominant Position </w:t>
        <w:br/>
        <w:t xml:space="preserve">(36) Although the information about the market is contradictory, in any case, CP's market share does not exceed 25% in the relevant market defined as the market for the manufacture and marketing of common bricks in the Principality of Asturias, so with that share, considering the existence of at least four other competitors, of which two would have shares around 20% (CEMESA and CERANOR) and one (CERASPINA) of 30%, the existence of a dominant position by CP is unlikely. The existence of relevant competitors and potential competition from operators located outside the affected territory (Asturias) who could sell their product there, as is currently the case with CP's two competitors from León, would limit the market power that CP might have. </w:t>
        <w:br/>
        <w:t xml:space="preserve">(37) Furthermore, it should be noted that CP reached this share in 2008, precisely due to a change in its production policy, which focused on the product in question, as a measure to salvage the crisis affecting the sector (see table on market share evolution). </w:t>
        <w:br/>
        <w:t xml:space="preserve">(38) On the other hand, and regardless of the existence of a dominant position, in view of the available information, there are also no indications that CP has carried out a predatory pricing policy, since, according to its data, its final prices to consumers are in line with its costs, which may be motivated by the extreme situation the sector is experiencing and that all respondents have highlighted, with some even stating that to be able to sell they have to "give away the product." </w:t>
        <w:br/>
        <w:t>(39) Finally, it is precisely this current situation in the construction market that provides a rational explanation for CP's actions that would exclude the existence of abuse, even if a supposed dominant position existed. Indeed, the drop in construction demand has caused an oversupply in the sector and, consequently, a drop in prices for the affected products, including, evidently, common bricks. The need to dispose of production surpluses in unfavorable conjunctural circumstances provides a logical explanation for the price drop that has evidently been carried out not only by the reported company but also by its competing companies (see table on average prices).</w:t>
      </w:r>
    </w:p>
    <w:p>
      <w:r>
        <w:t xml:space="preserve">III.2. Distortion of Free Competition by Unfair Acts </w:t>
        <w:br/>
        <w:t xml:space="preserve">(40) The application of Article 3 of the LDC requires the existence of an unfair act and the accreditation that the public interest is affected by the implementation of the aforementioned practice of predatory pricing. </w:t>
        <w:br/>
        <w:t xml:space="preserve">(41) Regarding the existence of an unfair act, according to Article 17 of Law 3/1991, of January 10, on Unfair Competition, selling at a low cost, or below acquisition price, will be deemed unfair when it is part of a strategy aimed at eliminating a competitor or group of competitors in the market. </w:t>
        <w:br/>
        <w:t xml:space="preserve">(42) However, in the present case, the same arguments previously mentioned in relation to the first of the practices analyzed (conjunctural factors of the construction market) allow us to conclude that the pricing policy followed by CP cannot be deemed unfair since its objective does not seem to be the expulsion of its competitors (who have also lowered their prices in the last year) but rather to address the excess supply in the sector under the new economic scenario. </w:t>
        <w:br/>
        <w:t>(43) It also does not seem, given the local characteristics of the affected market, that there is an impact on the general interest due to the actions carried out by a company, in particular, given its revenue figures of reduced relevance at the national level.</w:t>
      </w:r>
    </w:p>
    <w:p>
      <w:r>
        <w:t>In view of this, the Directorate of Investigation considers that there are no indications of infringement of Articles 2 and 3 of Law 15/2007 and, in accordance with the provisions of Article 49.3 of Law 15/2007, of July 3, on Defense of Competition, proposes the filing of the proceedings.</w:t>
      </w:r>
    </w:p>
    <w:p>
      <w:r>
        <w:t>5. The Council of the National Competition Commission deliberated and issued this Resolution in its meeting on September 2, 2009.</w:t>
      </w:r>
    </w:p>
    <w:p>
      <w:r>
        <w:t xml:space="preserve">LEGAL GROUNDS </w:t>
        <w:br/>
        <w:t>FIRST. In the present matter, it is determined whether CERÁMICAS DEL PRINCIPADO has followed a loss-leading sales policy that may be considered prohibited by Law 15/2007. In principle, this type of practice is prohibited when it constitutes a case of abuse of a dominant position typified through predatory pricing (Article 2 of Law 15/2007) or an unfair practice that, by distorting competition, affects the public interest (Article 3 of Law 15/2007).</w:t>
      </w:r>
    </w:p>
    <w:p>
      <w:r>
        <w:t>In terms of abuse of dominant position, doctrine considers predation sanctionable when there is evidence demonstrating that a dominant company systematically applies a pricing policy deliberately incurring losses or foregoing short-term profits (that is, making a "sacrifice") in order to exclude or have a probability of excluding one or several of its actual or potential competitors with the aim of reinforcing or maintaining its market power, thereby harming consumers. This practice is also described in the Guidelines on the Commission's enforcement priorities in applying Article 82 of the EC Treaty to the abusive exclusionary conduct of dominant companies (paragraph 63).</w:t>
      </w:r>
    </w:p>
    <w:p>
      <w:r>
        <w:rPr>
          <w:b/>
        </w:rPr>
        <w:t>[Pages 7–9]</w:t>
      </w:r>
    </w:p>
    <w:p>
      <w:r>
        <w:t>That is, for predation to be qualified as an abuse of a dominant position, the dominant operator must incur an economic sacrifice in order to close the market in an anti-competitive manner. As stated in the Commission's Guidelines, conduct entails a sacrifice (paragraph 64) if the dominant company, by applying a lower price to all or a certain part of its production during the reference period or by increasing its production during the reference period, incurs losses that could have been avoided. The Commission states that it will take the avoidable average cost as an appropriate starting point to assess whether the dominant company incurs or incurred avoidable losses.</w:t>
      </w:r>
    </w:p>
    <w:p>
      <w:r>
        <w:t>Regarding the closure of the market, it must be assessed whether the dominant company can reasonably expect that, once the predatory conduct ends, its market power will be greater than it would have been had it not engaged in that conduct in the first place, that is, whether it is likely that the company can benefit from the sacrifice by harming customers (paragraph 70 of the Guidelines).</w:t>
      </w:r>
    </w:p>
    <w:p>
      <w:r>
        <w:t>SECOND. In the case at hand, the necessary elements for the conduct to be classified as an abuse of a dominant position are not present.</w:t>
      </w:r>
    </w:p>
    <w:p>
      <w:r>
        <w:t>First, the Directorate of Investigation has defined the relevant market as that of common brick within the territorial scope of the Principality of Asturias. In this market, CERÁMICA DEL PRINCIPADO lacks a dominant position to abuse in light of the market share attributed to it and the presence of other competitors. In fact, from the information in the file, it is concluded that until recently it had a relatively marginal presence in the manufacturing and marketing of common brick in the Principality of Asturias. As noted by the Directorate of Investigation (and stated by some competitors of the reported company), "the enormous crisis in the construction sector has led to the progressive paralysis of its traditional market, the facing brick, and the opening of other markets that until then were not a priority in its production, such as common brick," through an aggressive pricing policy. On the other hand, this ability to reallocate resources towards the production of common brick and the presence of companies from León in Asturian territory indicate, in the Council's view, a substitutability on the supply side that further questions the possibility of concluding the existence of a dominant position in the defined market, which is relatively narrow.</w:t>
      </w:r>
    </w:p>
    <w:p>
      <w:r>
        <w:t>The lack of a dominant position is already sufficient reason to rule out the application of Article 2.</w:t>
      </w:r>
    </w:p>
    <w:p>
      <w:r>
        <w:t>Moreover, as detailed in the Third Legal Ground, it cannot be stated that the conduct aims to expel competitors from the market for anti-competitive purposes. Nor that it allows for the anti-competitive closure of the market to exert greater power within it. It is more than questionable that the company could, if it were to complete the predatory conduct, leverage its greater market power to raise prices and more than compensate for its losses. Even if it expelled all its competitors, given the commodity nature of common brick and the power of demand, the market may react to an abusive price increase policy by the hypothetical monopolist. In short, it is not established that the alleged sacrifice aims to gain market power that would allow for price increases in the future, nor that the company has the capacity to do so.</w:t>
      </w:r>
    </w:p>
    <w:p>
      <w:r>
        <w:t>THIRD. The Council considers that it cannot be concluded either that the reported practice constitutes a breach of Article 3 of Law 15/2007.</w:t>
      </w:r>
    </w:p>
    <w:p>
      <w:r>
        <w:t>It cannot be stated that the practice aims to harm competitors through unfair means to the detriment of the general interest. The competitors themselves assert that the economic situation is extremely difficult, with a sharp decline in demand, a widespread reduction in supply capacity that has led to employment regulation files and payment suspensions, and pressure from customers that has resulted in significant price reductions. In this context, it is equally or more plausible to explain that the company has reorganized its productive means towards the production of common brick as a way to keep its productive capacity occupied and sustain its activity and income. To this end, it seeks to increase its sales of common brick through an aggressive pricing policy. In a context of demand contraction, this leads to a loss of business for its customers. However, this practice, with the available information, in a market context that is frankly adverse, cannot be deemed unfair or abusive.</w:t>
      </w:r>
    </w:p>
    <w:p>
      <w:r>
        <w:t>On the other hand, there is insufficient evidence to establish that the company is selling its product below the avoidable average cost. The Directorate of Investigation and HISPALYT itself have warned of the partiality of the data and the contradictions that likely reveal their lack of comparability. In fact, all indications are that the cost measures provided by the Association and competitors do not take the avoidable average cost as a standard, but rather higher ones, which would question a supposed attribution of selling at a loss, especially in a context where it is observed that all companies have significantly reduced prices. Given that for the reasons previously stated, even in the presence of sales below cost, it would be unlikely to conclude the existence of a practice contrary to competition regulations, a more detailed investigation in this regard is not warranted for reasons of procedural economy.</w:t>
      </w:r>
    </w:p>
    <w:p>
      <w:r>
        <w:t>In short, the Council of the CNC agrees that there are no indications of infringement, and therefore has decided not to initiate proceedings and to archive the actions taken as a result of the complaint filed by the CONFEDERACIÓN ASTURIANA DE LA CONSTRUCCIÓN (CAC) against CERÁMICA DEL PRINCIPADO S.L (CP) for alleged prohibited conduct consisting of maintaining a predatory pricing policy with sales at a loss.</w:t>
      </w:r>
    </w:p>
    <w:p>
      <w:r>
        <w:t>This Resolution shall be communicated to the Directorate of Investigation and notified to the CONFEDERACIÓN ASTURIANA DE LA CONSTRUCCIÓN (CAC) and to CERÁMICA DEL PRINCIPADO S.L (CP), informing them that it concludes the administrative process, and that they may file a contentious-administrative appeal before the Audiencia Nacional within two months from its notification.</w:t>
      </w:r>
    </w:p>
    <w:p>
      <w:r>
        <w:rPr>
          <w:b/>
        </w:rPr>
        <w:t>[Pages 10–10]</w:t>
      </w:r>
    </w:p>
    <w:p>
      <w:r>
        <w:t>NATIONAL COMMISSION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