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https://www.cnmc.es/expedientes/s009608</w:t>
      </w:r>
    </w:p>
    <w:p>
      <w:r>
        <w:t>Pages translated : 21</w:t>
      </w:r>
    </w:p>
    <w:p/>
    <w:p>
      <w:r>
        <w:rPr>
          <w:b/>
        </w:rPr>
        <w:t>[Pages 1–3]</w:t>
      </w:r>
    </w:p>
    <w:p>
      <w:r>
        <w:t xml:space="preserve">RESOLUTION  </w:t>
        <w:br/>
        <w:t xml:space="preserve">(Exp. S/0096/08, National Mint and Stamp Factory)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January 24, 2011  </w:t>
        <w:br/>
        <w:t>The Council of the National Competition Commission (the Council), with the composition expressed and with the Rapporteur being Councilor Ms. María Jesús González López, has issued the following Resolution for Conventional Termination in the sanctioning file S/0096/08, National Mint and Stamp Factory, initiated on October 13, 2010, for alleged conduct contrary to the Competition Defense Law (LDC).</w:t>
      </w:r>
    </w:p>
    <w:p>
      <w:r>
        <w:t xml:space="preserve">BACKGROUND FACTS  </w:t>
        <w:br/>
        <w:t xml:space="preserve">1. On August 20, 2008, a complaint was received at the Investigation Directorate of the National Competition Commission (CNC) from Certificate, Verification &amp; Revocation S.L. (CERTIVER), against the National Mint and Stamp Factory (FNMT), for alleged conduct prohibited by Law 15/2007, of July 3, on Competition Defense (LDC), related to the validation services of electronic certificates issued by the FNMT in the private sector.  </w:t>
        <w:br/>
        <w:t xml:space="preserve">2. The Investigation Directorate (DI), in order to determine the possible existence of indications of infringement of the LDC that would justify the initiation of the corresponding sanctioning file, decided to carry out a reserved inquiry under reference S/0096/08, requesting certain information from the FNMT and CERTIVER regarding regulation, the market, and the services of electronic certificate validation.  </w:t>
        <w:br/>
        <w:t xml:space="preserve">3. In March 2009 and July 2009, information requests were made to the 15 certification service providers based on recognized certificates present in the Spanish market at that time, in order to understand the situation of the certification market, particularly regarding electronic certificate validation services.  </w:t>
        <w:br/>
        <w:t xml:space="preserve">4. On July 8, 2010, a request for information was sent to the FNMT, asking for updated data on its activity related to electronic certificate validation services, the retail prices of these services, and the attributable costs. The FNMT responded to this request with a letter dated July 23, 2010, providing, among other things, information regarding its validation activity in the public administrations and in the context of its clients in the private sector (page 418). By letter dated September 28, 2010, the FNMT provided information regarding revenues and costs, as well as a hypothesis of rates for a wholesale electronic certificate validation service from the FNMT (pages 497-510).  </w:t>
        <w:br/>
        <w:t xml:space="preserve">5. After analyzing the documentation collected during the reserved inquiry phase, the Investigation Directorate observed the existence of reasonable indications of infringement of the LDC. Consequently, in accordance with the provisions of section 1 of article 49 of the LDC, on October 13, 2010, it was agreed to initiate a sanctioning file for prohibited conduct under article 6 of Law 16/1989, of July 17, on Competition Defense and article 2 of Law 15/2007, of July 3, on Competition Defense, which was registered under number S/0096/08.  </w:t>
        <w:br/>
        <w:t xml:space="preserve">6. This sanctioning file was opened against the FNMT, in relation to conduct based on the unjustified refusal to satisfy the demand for the provision of a wholesale electronic certificate validation service issued by the FNMT that allows the resale of such services to third parties. Additionally, an instructor and secretary for the reference file were appointed.  </w:t>
        <w:br/>
        <w:t xml:space="preserve">7. On October 19, 2010, a letter was received at the CNC submitted by the FNMT requesting the resolution of the reference file through Conventional Termination, which was accompanied by certain additional information regarding the FNMT's activity in the framework of providing electronic certification services to the private sector (pages 525-532).  </w:t>
        <w:br/>
        <w:t xml:space="preserve">8. On October 25, 2010, the Investigation Directorate agreed to initiate actions aimed at the Conventional Termination of the sanctioning procedure in response to the aforementioned request from the FNMT, granting the FNMT a period of 15 working days to present a proposal for commitments that would resolve the effects on competition arising from the conduct subject to the file and that would sufficiently guarantee the public interest.  </w:t>
        <w:br/>
        <w:t xml:space="preserve">9. On November 4, 2010, a proposal for commitments was received at the CNC from the FNMT, in which it commits to create an open system for the validation of electronic certificates issued by this entity in the wholesale segment, accompanying a model of a standard contract for wholesale providers of electronic certification services provided on certificates issued by the FNMT, which includes the validation services of electronic certificates through the modality known as OCSP.  </w:t>
        <w:br/>
        <w:t xml:space="preserve">10. On November 5, 2010, the Investigation Directorate forwarded the proposal for commitments to CERTIVER, which was granted a period of five days to present allegations regarding this proposal.  </w:t>
        <w:br/>
        <w:t xml:space="preserve">11. On November 15, 2010, a letter of allegations was received from CERTIVER regarding the commitments presented, considering them insufficient, as they did not include the consultation modality of revoked certificate lists (CRL), which, although with a lower degree of security, have a more affordable price.  </w:t>
        <w:br/>
        <w:t xml:space="preserve">12. On November 24, 2010, the Director of Investigation agreed to consider the commitments presented as insufficient to adequately resolve the effects on competition arising from the conduct subject to the reference file. It was also agreed to grant the FNMT a period of ten working days to present new commitments to the Investigation Directorate that would resolve the identified competition issues.  </w:t>
        <w:br/>
        <w:t xml:space="preserve">13. On December 9, 2010, a letter with the complementary proposal of commitments from the FNMT was received at the National Competition Commission, a proposal that was forwarded to the complainant and the Council of the CNC on December 10. The complainant did not present allegations regarding these commitments submitted by the FNMT.  </w:t>
        <w:br/>
        <w:t xml:space="preserve">14. On December 17, a communication was sent to the FNMT regarding an agreement from the instructor on that same date requesting the submission of a consolidated version of the two groups of commitments presented by the FNMT. The FNMT submitted a letter on December 22 with the consolidated version of these commitments.  </w:t>
        <w:br/>
        <w:t xml:space="preserve">15. Finally, on December 23, 2010, in accordance with the provisions of article 52.1 of Law 15/2007, of July 3, on Competition Defense and article 39.5 of the Competition Defense Regulation approved by Royal Decree 261/2008, of February 22, the Investigation Directorate elevated to the Council of the CNC a proposal for Conventional Termination of the File, in relation to the sanctioning file S/0096/08, against the National Mint and Stamp Factory, Royal Mint, considering that the commitments proposed resolve the possible effects on competition that the conduct subject to the procedure could have.  </w:t>
        <w:br/>
        <w:t>16. The Council resolved on this file in its meeting on January 19, 2011.</w:t>
      </w:r>
    </w:p>
    <w:p>
      <w:r>
        <w:rPr>
          <w:b/>
        </w:rPr>
        <w:t>[Pages 4–6]</w:t>
      </w:r>
    </w:p>
    <w:p>
      <w:r>
        <w:t>PROVEN FACTS</w:t>
      </w:r>
    </w:p>
    <w:p>
      <w:r>
        <w:t>First.- The DI in its Report and Proposal for Conventional Termination provides the following description of the parties in this case file:</w:t>
      </w:r>
    </w:p>
    <w:p>
      <w:r>
        <w:t>- The FNMT, (reported party) is a public business entity as provided in article 43.1.b) of Law 6/1997. It provides electronic certification services pursuant to the provisions of article 81 of Law 66/1997, of December 30, on Fiscal, Administrative, and Social Order Measures. The FNMT carries out this activity through a specific department, called CERES.</w:t>
      </w:r>
    </w:p>
    <w:p>
      <w:r>
        <w:t>- CERTIVER, (complainant) is a Certification Service Provider. It does not issue digital certificates but is dedicated to providing services related to the use of electronic signatures, with its main activity being the validation of digital certificates.</w:t>
      </w:r>
    </w:p>
    <w:p>
      <w:r>
        <w:t>Second.- The DI in its proposal to the Council for Conventional Termination makes a detailed description of the legal environment, the affected markets, and the actions of the FNMT in electronic certification, which is transcribed below:</w:t>
      </w:r>
    </w:p>
    <w:p>
      <w:r>
        <w:t>III. LEGAL ENVIRONMENT AND MARKET INFORMATION</w:t>
      </w:r>
    </w:p>
    <w:p>
      <w:r>
        <w:t>III.1. Legal environment</w:t>
      </w:r>
    </w:p>
    <w:p>
      <w:r>
        <w:t>III.1.1. Electronic Signature Law</w:t>
      </w:r>
    </w:p>
    <w:p>
      <w:r>
        <w:t>(18) The basic regulation on electronic signatures is contained in Law 59/2003, of December 19, on electronic signatures (LFE).</w:t>
      </w:r>
    </w:p>
    <w:p>
      <w:r>
        <w:t>(19) Generally, in its article 2, the LFE defines the concept of certification service provider as “the natural or legal person that issues electronic certificates or provides other services related to electronic signatures.”</w:t>
      </w:r>
    </w:p>
    <w:p>
      <w:r>
        <w:t>(20) On the other hand, according to article 5.1, “the provision of certification services is not subject to prior authorization and shall be carried out under a regime of free competition.”</w:t>
      </w:r>
    </w:p>
    <w:p>
      <w:r>
        <w:t>(21) The LFE (article 6.1) defines the electronic certificate as “An electronic certificate is a document electronically signed by a certification service provider that links signature verification data to a signer and confirms their identity.”</w:t>
      </w:r>
    </w:p>
    <w:p>
      <w:r>
        <w:t>(22) Article 8 of the LFE establishes different causes for the termination of the validity of electronic certificates, as well as the obligation of providers to suspend the validity of such certificates (article 9).</w:t>
      </w:r>
    </w:p>
    <w:p>
      <w:r>
        <w:t>(23) In relation to this issue, the LFE also establishes (article 10) “The certification service provider shall immediately state, clearly and unequivocally, the termination or suspension of the validity of electronic certificates in the consultation service regarding the validity of certificates as soon as it has knowledge of any of the facts determining the termination or suspension of its validity.” “The termination or suspension of the validity of an electronic certificate shall remain accessible in the consultation service regarding the validity of certificates at least until the date on which its initial validity period would have ended.”</w:t>
      </w:r>
    </w:p>
    <w:p>
      <w:r>
        <w:t>(24) According to the provisions of article 18 of the LFE, all certification service providers that issue electronic certificates are obliged to: “c) Maintain an updated directory of certificates indicating the issued certificates and whether they are valid or if their validity has been suspended or terminated. The integrity of the directory shall be protected by using appropriate security mechanisms. d) Ensure the availability of a fast and secure consultation service regarding the validity of certificates.”</w:t>
      </w:r>
    </w:p>
    <w:p>
      <w:r>
        <w:t>(25) Certification service providers are required to submit a certification practice statement and must notify the Ministry of Industry, Tourism and Trade of the commencement of their activity, their identification data, and the characteristics of the services they will provide (articles 19 and 30 of the LFE).</w:t>
      </w:r>
    </w:p>
    <w:p>
      <w:r>
        <w:t>(26) The LFE does not distinguish between the different services that certification service providers may offer, which may include services for issuing electronic certificates, validating certificates, timestamping services, registration authority functions, etc.</w:t>
      </w:r>
    </w:p>
    <w:p>
      <w:r>
        <w:t>(27) The legal norm also does not establish mandatory technological requirements for electronic certificates, validation services, or certification services in general. However, the LFE does grant in its article 3 an additional legal effectiveness to the so-called recognized electronic signature.</w:t>
      </w:r>
    </w:p>
    <w:p>
      <w:r>
        <w:t>(28) Regarding the consultation services on the validity of certificates (certificate validation services), as indicated, the legal norm establishes the obligation to ensure the availability of a fast and secure service, but does not specify the technological solution to be used by the provider or the commercial conditions under which it must be offered. The description of the scope of such services and the specific solutions adopted by each provider are included in the Certification Practice Statement that each provider prepares in accordance with the aforementioned legal obligation.</w:t>
      </w:r>
    </w:p>
    <w:p>
      <w:r>
        <w:t>(29) Finally, it should be noted that the fourth additional provision of the LFE refers to the provision of services by the National Mint and Stamp Factory - Royal Mint, indicating that “The provisions of this law are understood without prejudice to what is established in article 81 of Law 66/1997, of December 30, on fiscal, administrative, and social order measures.”</w:t>
      </w:r>
    </w:p>
    <w:p>
      <w:r>
        <w:t>III.1.2. Regulation of the activity of the FNMT as a certification service provider</w:t>
      </w:r>
    </w:p>
    <w:p>
      <w:r>
        <w:t>(30) The activity of the FNMT as a certification service provider (folios 227-230, 412-414) is subject to the provisions contained in: a. Law 59/2003, of December 19, on electronic signatures (LFE). b. Article 81 of Law 66/1997, and Royal Decree 1317/2001 developing this legal provision regarding the provision of services to public administrations. c. The Statute of said public entity approved by Royal Decree 1114/1999, which was amended by Royal Decree 199/2009.</w:t>
      </w:r>
    </w:p>
    <w:p>
      <w:r>
        <w:t>(31) Article 81 of Law 66/1997 empowers the FNMT to provide electronic certification services. This legal norm establishes a specific regime for the provision of these services to public sector bodies and entities, with the aim of promoting the maximum extension of these services, under a non-exclusive regime.</w:t>
      </w:r>
    </w:p>
    <w:p>
      <w:r>
        <w:t>(32) Likewise, paragraph eleven of the aforementioned article 81 regulates the provision of certification services by the FNMT to the private sector, under a regime of free competition and in accordance with the general legislation applicable to these services.</w:t>
      </w:r>
    </w:p>
    <w:p>
      <w:r>
        <w:t>(33) The regulation of the conditions for the provision of these services by the FNMT to public administrations is specified in Royal Decree 1317/2001. In summary, it can be stated that this norm establishes that the services to be provided will be those necessary to guarantee the communications of citizens and legal entities with public administrations and the communications of the different public administrations.</w:t>
      </w:r>
    </w:p>
    <w:p>
      <w:r>
        <w:rPr>
          <w:b/>
        </w:rPr>
        <w:t>[Pages 7–9]</w:t>
      </w:r>
    </w:p>
    <w:p>
      <w:r>
        <w:t>provides services necessary to guarantee communications of citizens and legal entities with the Public Administrations (AAPP) and communications among the different AAPP and public bodies. It also establishes the conditions for providing these services, including their formalization through agreements, or the possibility for the AAPP or public bodies receiving these services to establish accreditation or registration offices, where end users can verify their identity and request the issuance of certificates.</w:t>
      </w:r>
    </w:p>
    <w:p>
      <w:r>
        <w:t>(34) Special mention should be made of Article 13 of Royal Decree 1317/2001, which refers to the registration of certificates and their consultation. According to this, the FNMT will maintain a register of certificates that allows for the consultation of the validity status of the issued certificates. Public users and individuals who request it will have access to this register, with the authorization of the certificate holder being necessary in the latter case.</w:t>
      </w:r>
    </w:p>
    <w:p>
      <w:r>
        <w:t>(35) Finally, it is necessary to briefly outline the provisions of the FNMT Statute. The Statute once again provides that the provision of services by the FNMT to the public sector will be carried out in accordance with the provisions of Article 81 of Law 66/1997 and its implementing regulations (Art. 2.1.g of the Statute). Regarding the provision of certification services to the private sector, it is established that "the entity will act for all purposes under private law" (Art. 2.1.h of the Statute).</w:t>
      </w:r>
    </w:p>
    <w:p>
      <w:r>
        <w:t>(36) With respect to the prices to be charged for this type of services, the Statute (art. 28.2) provides that the FNMT may establish public prices as compensation for the provision of certification services to the public sector, without specific provisions for its provision to the private sector, which is subject to price freedom under a regime of free competition (folios 502 and 503).</w:t>
      </w:r>
    </w:p>
    <w:p>
      <w:r>
        <w:t>(37) Regarding the provision of certificate validation services to the public sector, it is necessary to point out that from the entry into force of Royal Decree 1671/2009, which partially develops Law 11/2007, of June 22, on electronic access of citizens to public services, the FNMT provides certificate validation services free of charge to Public Administrations by virtue of the provisions established in Articles 23, 25, and the fifth additional provision of said regulation (See folios 412 to 414).</w:t>
      </w:r>
    </w:p>
    <w:p>
      <w:r>
        <w:t>(38) Therefore, it can be stated that the activity of the FNMT in the field of providing electronic certification services and, in particular, the services of validating electronic certificates, is subject to a dual regime. The provision of services to the public sector is carried out under a regulated regime based on principles of administrative law, albeit in a non-exclusive legal regime, while the provision of services to the private sector must be carried out in accordance with the principles of free competition and subject to private law.</w:t>
      </w:r>
    </w:p>
    <w:p>
      <w:r>
        <w:t>III.2. General characteristics of the certification market</w:t>
      </w:r>
    </w:p>
    <w:p>
      <w:r>
        <w:t>(39) The electronic certification market is fully liberalized and includes the provision of different services. The most basic services are the issuance of certificates and the validation of certificates.</w:t>
      </w:r>
    </w:p>
    <w:p>
      <w:r>
        <w:t>(40) The issuance of certificates involves the provider issuing an electronic certificate to end users (individuals or companies) that verifies their identity. Having a certificate is essential for any person or company to authenticate themselves electronically (verify their identity) and also to be able to use electronic signatures (sign electronic documents).</w:t>
      </w:r>
    </w:p>
    <w:p>
      <w:r>
        <w:t>(41) The validation of certificates is a service that allows a third party to verify the validity of a certificate, checking whether it has been revoked previously. This verification is advisable or even essential in many cases, in order to ensure that there is no fraudulent use of systems based on electronic signatures in authentication processes or in the electronic signing process in a specific transaction.</w:t>
      </w:r>
    </w:p>
    <w:p>
      <w:r>
        <w:t>(42) There are different methods for validating electronic certificates. As stated by the FNMT in its letter of October 10, 2008 (folio 231), the two most common are:</w:t>
      </w:r>
    </w:p>
    <w:p>
      <w:r>
        <w:t>1. Consultation of Certificate Revocation Lists (CRL), where certification service providers publish from time to time (usually daily) the serial numbers of those certificates that have been revoked. The FNMT states that for security in communications, confidentiality, and data protection regulations, it only uses this procedure in the public sphere. It is used, for example, to validate the electronic certificates requested by citizens and companies for filing tax returns. In general, providers do not precisely know the validations carried out through this method as they only publish the lists that are downloaded by interested parties for subsequent validations.</w:t>
      </w:r>
    </w:p>
    <w:p>
      <w:r>
        <w:t>2. Consultation via OCSP (Online Certificate Status Protocol), through which the certification service provider responds online to inquiries about a specific certificate or number of certificates. In this procedure, the status of the certificates (is validated) that are of interest to the requesting entity is answered on a case-by-case basis.</w:t>
      </w:r>
    </w:p>
    <w:p>
      <w:r>
        <w:t>(43) As can be deduced from the above, validations carried out through the OCSP system provide superior security, particularly due to their immediacy regarding the incorporation of data on revoked certificates.</w:t>
      </w:r>
    </w:p>
    <w:p>
      <w:r>
        <w:t>(44) In the case of inquiries to the CRL lists, there would be a time delay from the moment the revocation occurs until the next list is published. On the other hand, it can also be deduced that the involvement and activities to be carried out by the certification service provider in the OCSP procedure are greater than those corresponding to validation through CRLs.</w:t>
      </w:r>
    </w:p>
    <w:p>
      <w:r>
        <w:t>(45) In general, for certain electronic transactions, the level of security offered by the CRL system, with daily updates, is sufficient. However, for transactions of special relevance or economic significance, daily updates may not be sufficient, and an instant consultation of the validity status of a certificate becomes necessary.</w:t>
      </w:r>
    </w:p>
    <w:p>
      <w:r>
        <w:t>(46) In the national market, certificate validation services are provided directly by the FNMT (folio 233) and by other certificate issuers, who are responsible for publishing the CRLs and, where applicable, offering the OCSP service corresponding to the certificates issued by each of them. The most notable exception to this general rule is the case of validation services for electronic ID certificates (e-DNI), in which case the Ministry of the Interior has entrusted (folio 233) the provision of validation services for these certificates to the Ministry of Territorial Policy (for the public sector) and to the FNMT (for both public and private sectors).</w:t>
      </w:r>
    </w:p>
    <w:p>
      <w:r>
        <w:t>(47) However, some entities provide end users with validation services for multiple certification authorities using the basic validation services offered by the certificate issuers. These entities can be both certificate issuers that validate third-party certificates in addition to their own, and specialized entities that provide validation services for multiple certification authorities without operating in the certificate issuance market, as is the case with the complainant.</w:t>
      </w:r>
    </w:p>
    <w:p>
      <w:r>
        <w:t>(48) This multiple validation service provides end clients (banks, e-commerce companies, etc.) with significant added value, as they can verify certificates from different providers at a single point, avoiding the costs of having to connect their services with the validation service of each individual certificate issuer.</w:t>
      </w:r>
    </w:p>
    <w:p>
      <w:r>
        <w:rPr>
          <w:b/>
        </w:rPr>
        <w:t>[Pages 10–12]</w:t>
      </w:r>
    </w:p>
    <w:p>
      <w:r>
        <w:t>(49) In general, certification service providers follow a business model that consists of charging for the issuance and renewal of certificates, while several providers offer the validation service via CRL for free, and typically charge for the validation service via OCSP, due to the higher cost of this modality for the provider and the greater value it offers in terms of security and reliability (pages 100 to 104).</w:t>
      </w:r>
    </w:p>
    <w:p>
      <w:r>
        <w:t>(50) For its part, the FNMT has opted (page 235) for a business model based on offering the issuance and renewal of certificates for free to individuals, and charging companies and administrations for certificate validation services3 (pages 412 to 414) and other certification services such as time stamping. This has allowed for a significant expansion of the certificates issued by the FNMT. Regarding the validation service, the FNMT offers user administrations the validation service via CRL and to the private sector only secure OCSP validation.</w:t>
      </w:r>
    </w:p>
    <w:p>
      <w:r>
        <w:t>IV. RELEVANT MARKETS AND THE POSITION OF THE FNMT THEREIN.</w:t>
      </w:r>
    </w:p>
    <w:p>
      <w:r>
        <w:t>(51) In accordance with the aforementioned, it is appropriate to consider that the activities of issuing and retail validation of certificates are in different product markets, given that both retail services can be provided independently, and from the demand perspective, both services are not substitutable.</w:t>
      </w:r>
    </w:p>
    <w:p>
      <w:r>
        <w:t>(52) In particular, retail validation services can be provided to validate certificates issued by the operator itself and/or by third parties. An example of this separation between issuance and validation occurs in relation to e-DNI certificates, for which the issuer does not perform validation services but entrusts them to third parties.</w:t>
      </w:r>
    </w:p>
    <w:p>
      <w:r>
        <w:t>(53) Thus, for the purposes of this case file, it can be considered that there exists a relevant differentiated product market for the provision of retail certificate validation services, in which the behaviors of the FNMT that are being reported would have effects.</w:t>
      </w:r>
    </w:p>
    <w:p>
      <w:r>
        <w:t>(54) The relevant geographic scope of this market for the provision of retail certificate validation services is likely national, given that the specificities of national regulations and the scope of action of the main providers and demanders of these services generate similar competitive conditions at the national level.</w:t>
      </w:r>
    </w:p>
    <w:p>
      <w:r>
        <w:t>(55) In order to operate in this retail validation market in Spain, FNMT certificates essentially constitute an essential input, insofar as due to the importance of FNMT certificates in terms of number and use, an operator wishing to provide validation services for multiple types of certificates would need to have the capacity to validate certificates issued by the FNMT (by contracting wholesale validation services) to be competitive in this market.</w:t>
      </w:r>
    </w:p>
    <w:p>
      <w:r>
        <w:t>(56) For this reason, it could be considered that the provision of wholesale validation services for certificates issued by the FNMT would constitute a relevant product market in itself, although at the moment this market does not exist due to the FNMT's refusal to provide such wholesale services.</w:t>
      </w:r>
    </w:p>
    <w:p>
      <w:r>
        <w:t>(57) Based on the responses to the information requests sent in April (pages 294 to 315) and July (pages 381 to 404) of 2009 to the 15 certification service providers based on recognized certificates existing in Spain at that time (page 278), some figures can be noted as follows.</w:t>
      </w:r>
    </w:p>
    <w:p>
      <w:r>
        <w:t>(58) In the certificate issuance market, the total number of certificates in force at the end of 2008 was slightly over 14 million, of which 11.6 million were e-DNI and 2 million from the FNMT.</w:t>
      </w:r>
    </w:p>
    <w:p>
      <w:r>
        <w:t>(59) Regarding the validation market, detailed data is only available on OCSP validation, since CRL validations are performed directly by users accessing the lists and are generally not under the control of service providers. In 2008, a total of 83 million certificate validations via OCSP would have been carried out.</w:t>
      </w:r>
    </w:p>
    <w:p>
      <w:r>
        <w:t>(60) The FNMT would have maintained high market shares in the overall OCSP validation market, as follows:</w:t>
        <w:br/>
        <w:t>2005 2006 2007 2008</w:t>
        <w:br/>
        <w:t>88.3% 78.8% 68.9% 58.7%</w:t>
        <w:br/>
        <w:t>Source: Own elaboration based on case file data.</w:t>
      </w:r>
    </w:p>
    <w:p>
      <w:r>
        <w:t>(61) On the other hand, it is necessary to point out that from the data provided by the providers, it can also be concluded that the activity related to the use of electronic signatures has been focused on the public sector, while its use in the private sector is still emerging and very incipient.</w:t>
      </w:r>
    </w:p>
    <w:p>
      <w:r>
        <w:t>(62) Indeed, taking the data on OCSP validations, the five main certification service providers linked to the public sector account for practically all the validations carried out. These providers would be, in the realm of the State Administration, the FNMT and the Ministry of Territorial Policy (e-DNI), and in the regional realm, CatCert (Catalonia), ACCV (Valencian Community), Izenpe (Basque Country). Specifically, the percentage of OCSP validations carried out by these providers compared to the total validations carried out would be as follows:</w:t>
        <w:br/>
        <w:t>2005 2006 2007 2008</w:t>
        <w:br/>
        <w:t>95.6% 98.4% 99.4% 97.8%</w:t>
        <w:br/>
        <w:t>Source: Own elaboration based on case file data.</w:t>
      </w:r>
    </w:p>
    <w:p>
      <w:r>
        <w:t>(63) However, the adoption of different legal measures regarding the adoption of electronic invoicing, and its mandatory nature for certain companies, constitutes an element that undoubtedly will significantly stimulate the implementation of the use of electronic signatures in the private business sector.</w:t>
      </w:r>
    </w:p>
    <w:p>
      <w:r>
        <w:t>V. ACTION OF THE FNMT IN ELECTRONIC CERTIFICATION</w:t>
      </w:r>
    </w:p>
    <w:p>
      <w:r>
        <w:t>(64) The FNMT has been primarily developing its activity in the public sector in Spain. In 2007, it had a total of 93 public clients and 12 private clients, while in June 2010, the number of public clients was 120 and private clients was 17. Similarly, the revenue from services has also been concentrated in the public sector. In 2007, the FNMT's revenue from certification services provided to the private sector was 2.1% of the total corresponding to certification services. In the first half of 2010, this proportion remained minority although it had grown to 3.8% of the revenue from these services (page 418)4.</w:t>
      </w:r>
    </w:p>
    <w:p>
      <w:r>
        <w:t xml:space="preserve">(65) In accordance with the legal provision, the FNMT has been formalizing the provision of these services to the public sector through different instruments, primarily through the signing of collaboration agreements. As provided in article 81 of Law 66/1997, these agreements contemplate the action of the different public bodies in the user registration process, through </w:t>
        <w:br/>
        <w:t>4 This data refers to the revenue from all certification services provided by the FNMT, without disaggregated information corresponding only to validation services.</w:t>
      </w:r>
    </w:p>
    <w:p>
      <w:r>
        <w:rPr>
          <w:b/>
        </w:rPr>
        <w:t>[Pages 13–15]</w:t>
      </w:r>
    </w:p>
    <w:p>
      <w:r>
        <w:t>the verification of their personal data and other necessary actions for the issuance of new certificates.</w:t>
      </w:r>
    </w:p>
    <w:p>
      <w:r>
        <w:t>(66) The FNMT provides the validation service through two procedures: CRL consultation and OCSP validation. The validation service via CRL lists is restricted solely to public law entities (folios 231 and 234). In the case of OCSP validations, the FNMT offers this service to both public and private entities. However, the FNMT indicates that the demand for the OCSP service is predominantly from the private sector since most public clients request validation via CRL (folio 418).</w:t>
      </w:r>
    </w:p>
    <w:p>
      <w:r>
        <w:t>(67) For its part, based on the historical data of certificate validations issued by the FNMT through each of the two methods mentioned, provided by the FNMT in its letter of July 23, 2010, it can be observed (folio 418) the preeminence of validations through the CRL consultation method, carried out by public sector entities.</w:t>
      </w:r>
    </w:p>
    <w:p>
      <w:r>
        <w:t>(68) Specifically, according to this data, in recent years, the CRL validations exclusive to public entities have been significantly more numerous than the OCSP validations. It can also be noted that the relative weight of CRL validations has been gradually decreasing in recent years.</w:t>
      </w:r>
    </w:p>
    <w:p>
      <w:r>
        <w:t>(69) The proportion of CRL validations, all of which correspond to the public sector, carried out on FNMT certificates compared to the total validations in recent years would be as follows:</w:t>
        <w:br/>
        <w:t>2007 2008 2009 Jan-Jun 2010</w:t>
        <w:br/>
        <w:t>93.2% 85.6% 78.4% 77.1%</w:t>
        <w:br/>
        <w:t>Source: Own elaboration based on case file data</w:t>
      </w:r>
    </w:p>
    <w:p>
      <w:r>
        <w:t>(70) Regarding the provision by the FNMT of electronic certificate validation services for the private sector, which is the subject of the present procedure, the FNMT adopted in April 2005 (folio 235) a model contract for the provision of OCSP services for private entities. This model contract, in effect to this day, includes (folio 251) in its Second Condition that “_(Company)_ may not act on behalf of third parties, as a provider of these services by directly reselling the information and OCSP certification received from FNMT-RCM.”</w:t>
      </w:r>
    </w:p>
    <w:p>
      <w:r>
        <w:t>(71) Similarly, the FNMT approved (folio 416) in mid-2009 a model contract for the provision of certificate validation services via the OCSP system, specifically intended for electronic billing systems, directed at both the public and private sectors. This model contract includes (folio 461) in its second clause a prohibition on the resale of these validation services similar to the one previously mentioned.</w:t>
      </w:r>
    </w:p>
    <w:p>
      <w:r>
        <w:t>(72) In summary, since April 2005, the FNMT has offered the private sector validation services for its certificates through the OCSP procedure, prohibiting the resale to third parties of these services. On the other hand, it does not offer the private sector the possibility of validating its certificates by accessing the CRL consultation system.</w:t>
      </w:r>
    </w:p>
    <w:p>
      <w:r>
        <w:t>LEGAL GROUNDS</w:t>
      </w:r>
    </w:p>
    <w:p>
      <w:r>
        <w:t>FIRST.- Article 52 of Law 15/2007 of July 3, on the Defense of Competition, regarding the Conventional Termination of the sanctioning procedure, provides in its first paragraph that “the Council of the National Competition Commission, at the proposal of the Directorate of Investigation, may resolve the termination of the sanctioning procedure regarding prohibited agreements and practices when the alleged offenders propose commitments that resolve the effects on competition arising from the behaviors subject to the case file and sufficiently guarantee the public interest.” However, such termination of the sanctioning procedure is only possible prior to the formulation of the Resolution proposal by the DI, as provided in the third paragraph of the same article, “the termination of the procedure under the terms established in this article may not be agreed once the proposal report provided for in Article 50.4 has been submitted.”</w:t>
      </w:r>
    </w:p>
    <w:p>
      <w:r>
        <w:t>And the second paragraph of the same article states that “the commitments shall be binding and shall take full effect once incorporated into the resolution that concludes the procedure.”</w:t>
      </w:r>
    </w:p>
    <w:p>
      <w:r>
        <w:t>For its part, the Competition Defense Regulation approved by Royal Decree 261/2008 of February 22, in its article 39 develops the terms in which the provisions of the aforementioned legal provision will be carried out and in its point 7 states that, “The non-compliance with the resolution that concludes the procedure through conventional termination shall be considered a very serious infringement in accordance with the provisions of article 62.4.c) of Law 15/2007, of July 3, which may also determine the imposition of coercive fines in accordance with the provisions of article 67 of the Competition Defense Law and article 21 of this Regulation, as well as, where appropriate, the opening of a sanctioning file for infringement of articles 1, 2 or 3 of Law 15/2007, of July 3.”</w:t>
      </w:r>
    </w:p>
    <w:p>
      <w:r>
        <w:t>SECOND.- In the present procedure, the steps provided for by the regulations cited in the previous legal ground have been strictly followed, so in the opinion of the Council, the Conventional Termination of the same is possible. The DI in its analysis and investigation noted the existence of a possible unlawful conduct by the FNMT contrary to article 2 of the LDC, which prohibits, among other things, the abusive exploitation of a dominant position consisting of the unjustified refusal to sell goods or services. The analyzed conduct would be related to the FNMT's refusal to supply certain wholesale validation services for its own certificates.</w:t>
      </w:r>
    </w:p>
    <w:p>
      <w:r>
        <w:t>For the DI, the FNMT certificates constitute, in principle, an essential input for providing retail validation services for certificates from multiple issuers. Therefore, for the DI, “the provision of wholesale validation services for FNMT certificates would constitute a relevant product market differentiated in itself, in which the FNMT holds a monopoly, as the only entity that ultimately has the capacity to validate its own certificates. This circumstance would allow establishing that the FNMT has a dominant position in this wholesale market, without the need to assess whether the FNMT has a dominant position in the retail issuance and validation markets for certificates, despite the fact that in these it has a significant presence.”</w:t>
      </w:r>
    </w:p>
    <w:p>
      <w:r>
        <w:t>And consequently, “This refusal to supply could, in principle, constitute an abuse of a dominant position for the purposes of article 2 of the LDC, to the extent that there is an unjustified refusal to supply wholesale services that are essential to operate in a retail certificate validation market, which would have hindered the development of validation operators for certificates from multiple issuers.”</w:t>
      </w:r>
    </w:p>
    <w:p>
      <w:r>
        <w:t>Notwithstanding the above, and among other reasons to assess the adequacy of the commitments presented to resolve the competition problems, the DI analyzes the possible effects of the conduct taking into account the circumstances in which it occurs and states the following:</w:t>
      </w:r>
    </w:p>
    <w:p>
      <w:r>
        <w:t>(79) In its letter of October 10, 2008, the FNMT indicated (folio 236) that it had not received requests for wholesale validation services for certificates in the private sector, beyond the correspondence (folios 267 to 271) maintained with the complainant in February and December 2007. Similarly, in its letter of October 19, 2010, the FNMT provides certification (folio 530) indicating that it has not received requests from private companies that have demanded a wholesale validation service for FNMT certificates for sale to third parties.</w:t>
      </w:r>
    </w:p>
    <w:p>
      <w:r>
        <w:t>(80) With all this, according to the information provided by the FNMT, only the complainant company would have approached the FNMT to</w:t>
      </w:r>
    </w:p>
    <w:p>
      <w:r>
        <w:rPr>
          <w:b/>
        </w:rPr>
        <w:t>[Pages 16–18]</w:t>
      </w:r>
    </w:p>
    <w:p>
      <w:r>
        <w:t>request a wholesale certificate validation service through the OCSP procedure.</w:t>
      </w:r>
    </w:p>
    <w:p>
      <w:r>
        <w:t>(81) Additionally, as previously noted, the FNMT's activity in electronic certification has been fundamentally oriented towards providing services to the public sector, with the demand for validation services from the private sector being residual.</w:t>
      </w:r>
    </w:p>
    <w:p>
      <w:r>
        <w:t>(82) Furthermore, it is important to consider the difficulties in developing a retail market for certificate validation services for Public Administrations, as according to the provisions of Royal Decree 1671/2009, these validation services must be provided free of charge to these Public Administrations.</w:t>
      </w:r>
    </w:p>
    <w:p>
      <w:r>
        <w:t>(83) On the other hand, as previously mentioned, the development of the use of electronic signatures has been primarily driven by the public sector, with the significant role of the AEAT in the initial development of these technologies through their use in tax procedures, particularly in the filing of the IRPF declaration.</w:t>
      </w:r>
    </w:p>
    <w:p>
      <w:r>
        <w:t>(84) The use of electronic signatures in the private sector has been very limited and has generally been associated with specific groups or very particular sectors (lawyers, notaries, registrars, engineers, banks, etc.). In general, these groups have promoted the establishment of certification service providers with the primary objective of providing services to these groups.</w:t>
      </w:r>
    </w:p>
    <w:p>
      <w:r>
        <w:t>(85) It has only been very recently that electronic signatures have begun a gradual process of widespread implementation in the business sector as a result of the progressive adoption of electronic invoicing solutions.</w:t>
      </w:r>
    </w:p>
    <w:p>
      <w:r>
        <w:t>(86) Regarding the use of electronic signatures by individuals, the main use of signature services is concentrated in the relationships between citizens and public administrations. Its use in the private sector is still in an initial phase. However, factors such as the implementation of the e-DNI and the possibility of using FNMT certificates for the private sector have allowed for the beginning of the use of signature systems in services such as access to online banking, albeit with very limited scope.</w:t>
      </w:r>
    </w:p>
    <w:p>
      <w:r>
        <w:t>(87) In any case, the most widely used authentication systems in this type of transactions by citizens in the private sector are still those based on access keys and/or key cards, with some utilizing SMS services to enhance the security of certain transactions.</w:t>
      </w:r>
    </w:p>
    <w:p>
      <w:r>
        <w:t>(88) In light of all this, the conduct adopted by the FNMT regarding the non-provision of wholesale validation services for its own certificates would have had a limited effect on competition to date. The Council, having reviewed the information in the file, agrees with the DI that the unjustified refusal of the FNMT to meet the demand for the provision of a wholesale service for the validation of electronic certificates issued by the FNMT, which allows for the resale of such services to third parties, may constitute a violation of the LDC. The Council also agrees on the limitation of the effects on competition of the FNMT's actions to date, which may condition the development of a potential emerging wholesale market for electronic certificate validation issued by the FNMT for private clients.</w:t>
      </w:r>
    </w:p>
    <w:p>
      <w:r>
        <w:t>THIRD.- In order to address these issues, the FNMT presented an initial proposal of commitments, whereby it committed to creating an open validation system in the wholesale segment of the electronic certificates it issues, as well as a pricing regime for these services with a differential for wholesalers compared to the end customer. It also attached, as an example, a model of a standard contract for wholesale services.</w:t>
      </w:r>
    </w:p>
    <w:p>
      <w:r>
        <w:t>Of the two existing validation systems (see in HP SECOND point 42), the standard contract proposed by the FNMT only contemplated the wholesale marketing of electronic certificate validation services through the OCSP (Online Certificate Status Protocol).</w:t>
      </w:r>
    </w:p>
    <w:p>
      <w:r>
        <w:t>The complainant considered these commitments insufficient as they did not incorporate a wholesale market proposal based on the consultation of Certificate Revocation Lists (CRL), which, although having a lower degree of security for the customer, has a reduced cost and, in the complainant's opinion, could be the most suitable system for the evolution of this emerging market.</w:t>
      </w:r>
    </w:p>
    <w:p>
      <w:r>
        <w:t>The DI also considered the commitments presented by the FNMT insufficient, as it had not sufficiently justified the exclusion of the possibility of providing wholesale validation services through CRL, and had not presented an express commitment nor provided guarantees to prevent the FNMT from engaging in commercial practices when setting and effectively applying the retail prices of its validation services, which could lead to a narrowing of margins with its wholesale services or other possible abusive practices.</w:t>
      </w:r>
    </w:p>
    <w:p>
      <w:r>
        <w:t>In its response to the DI sent on December 9, 2010, the FNMT committed not to take any measures regarding the retail price that would impede the development of wholesale activity on the resale of validations and to adopt a standard contract and retail prices for its retail validation activity in the private sector that would be public. It also made the following observations in the terms set out in the Proposal for Resolution of the DI:</w:t>
      </w:r>
    </w:p>
    <w:p>
      <w:r>
        <w:t>"It states that the validation services that the FNMT provides to Public Administrations are free of charge, which prevents the development of a retail validation market for these Public Administrations. Additionally, the FNMT argues that there are certain limitations on the use of certificates issued by the FNMT in the private sector. In this regard, according to the legal provision, the FNMT has entered into agreements with various administrations and public bodies for the provision of certification services. These public bodies carry out the activity of user registration offices for the issuance of certificates, which are based on the citizen's consent for the use of the certificate in their relations with the public administration but not for the private sector.</w:t>
      </w:r>
    </w:p>
    <w:p>
      <w:r>
        <w:t>The FNMT also points out that according to the provisions of article 13 of Royal Decree 1317/2001, access to the certificate registry by private entities or individuals requires prior authorization from the certificate holder. Therefore, the FNMT explains that the use of its certificates in the private sector (i.e., access to the validation service by private entities) requires the express authorization of the citizen, which should be obtained after the issuance of the certificate in the aforementioned public registration offices.</w:t>
      </w:r>
    </w:p>
    <w:p>
      <w:r>
        <w:t>In this regard, the operation of the OCSP system, which involves the individual consultation of the status of each certificate, allows for a simple discernment of those certificates for which the citizen would have provided the aforementioned consent. However, in the case of consulting the certificate registry via CRL, this would not be possible, as it involves access to the entire list of revoked certificates from the FNMT, many of whose holders would not have given their consent for consultation by private entities.</w:t>
      </w:r>
    </w:p>
    <w:p>
      <w:r>
        <w:t>In any case, the FNMT indicates that it will promote the necessary modifications to the legal regime for the provision of certification services by the FNMT, in order to facilitate the wholesale and retail validation activity of FNMT certificates through CRL, and that it will study technical solutions to modify the FNMT's technological platform in order to obtain the individual consent of users in the process of renewing their certificate or another subsequent to the initial issuance, and to develop a specific CRL for the private sector with the certificates of users who have given such consent."</w:t>
      </w:r>
    </w:p>
    <w:p>
      <w:r>
        <w:rPr>
          <w:b/>
        </w:rPr>
        <w:t>[Pages 19–21]</w:t>
      </w:r>
    </w:p>
    <w:p>
      <w:r>
        <w:t>FOURTH.- At the request of the DI, on December 22, 2010, the FNMT submitted the consolidated version of its binding commitments, which is transcribed below:</w:t>
      </w:r>
    </w:p>
    <w:p>
      <w:r>
        <w:t>“First.- Create an open system of Validation Services in relation to the electronic certificates issued by the Entity, in the wholesale segment.</w:t>
      </w:r>
    </w:p>
    <w:p>
      <w:r>
        <w:t>Second.- Establish a pricing regime for these services that is differential for wholesalers compared to the end customer, taking into account the cost environment that arises in the organization and operation of the FNMT-RCM, in accordance with its legal nature as a public business entity.</w:t>
      </w:r>
    </w:p>
    <w:p>
      <w:r>
        <w:t>The legal instruments intended to implement compliance with the previous sections and that constitute the proposal are as follows:</w:t>
      </w:r>
    </w:p>
    <w:p>
      <w:r>
        <w:t>1. “TYPICAL” CONTRACT for interested wholesalers, whose first version was provided along with the commitment letter dated November 3, 2010.</w:t>
      </w:r>
    </w:p>
    <w:p>
      <w:r>
        <w:t>2. DISCLOSURE. The “typical” contract will be available on the FNMT website (http://www.fnmt-es), without prejudice to its dissemination through other systems that allow for general knowledge.</w:t>
      </w:r>
    </w:p>
    <w:p>
      <w:r>
        <w:t>3. DEADLINES. The initial “typical” contract will be incorporated into legal traffic through the disclosure systems previously indicated within a maximum period of 10 days, starting from the resolution of acceptance by that Commission of the proposed commitments, with the adaptation of the contracts currently in force to these commitments occurring as they expire: all of this, with the aim of promoting the committed wholesale activity.</w:t>
      </w:r>
    </w:p>
    <w:p>
      <w:r>
        <w:t>Third.- Commitment not to adopt commercial policies that hinder the development of the wholesale market for resale of validations.</w:t>
      </w:r>
    </w:p>
    <w:p>
      <w:r>
        <w:t>The FNMT expressly commits not to adopt any measures regarding the retail price that would hinder the development of wholesale activity concerning the resale of validations.</w:t>
      </w:r>
    </w:p>
    <w:p>
      <w:r>
        <w:t>In this regard, the entity will approve retail prices, via general tariff, via public price, also approving a typical contract that will be published in a contractor profile.</w:t>
      </w:r>
    </w:p>
    <w:p>
      <w:r>
        <w:t>The prices for these customers will be configured based on the potential OCSP queries, so that the greater the potential number of queries, the lower the price.</w:t>
      </w:r>
    </w:p>
    <w:p>
      <w:r>
        <w:t>As a measure to implement the previous declaration, the Entity will approve within 6 months, starting from the approval of the commitment by the Commission, a “typical” contract with the corresponding prices for private retail customers.</w:t>
      </w:r>
    </w:p>
    <w:p>
      <w:r>
        <w:t>Fourth.- Information to the Commission.- FNMT-RCM will inform that Directorate of Investigation of the initial implementation actions of the acquired commitments, as well as the launch of the electronic products or services related to it.”</w:t>
      </w:r>
    </w:p>
    <w:p>
      <w:r>
        <w:t>FIFTH.- The DI in its proposal for Conventional Termination considers these commitments sufficient in the terms expressed below, and the Council agrees with this assessment.</w:t>
      </w:r>
    </w:p>
    <w:p>
      <w:r>
        <w:t>The FNMT has committed to quickly launch a wholesale validation service using the OCSP system, which would be included in a typical contract that would be publicized on the FNMT website, and to adopt differential prices for this service compared to the prices of retail services, and with this commitment, the FNMT will provide wholesale validation services for its certificates, which will allow the development of a retail market for validation services of multiple issuers.</w:t>
      </w:r>
    </w:p>
    <w:p>
      <w:r>
        <w:t>And the FNMT has sufficiently justified the reasons that prevent it from providing a wholesale or retail validation service using CRL directed at the private sector, as a consequence of the lack of user consent for the use of certificates in the private sector during the initial registration procedures in public agency offices.</w:t>
      </w:r>
    </w:p>
    <w:p>
      <w:r>
        <w:t>Furthermore, the FNMT has undertaken a commitment not to adopt any measures regarding the retail validation price for the private sector that would hinder the development of wholesale activity concerning the resale of validations.</w:t>
      </w:r>
    </w:p>
    <w:p>
      <w:r>
        <w:t>To make this commitment effective, the FNMT commits to adopting a typical contract and retail prices for its retail validation activity in the private sector, which it would appropriately publicize.</w:t>
      </w:r>
    </w:p>
    <w:p>
      <w:r>
        <w:t>The DI considers that with this block of commitments, “the risk that the FNMT adopts commercial policies that de facto hinder the development of a retail market for validation of certificates from multiple issuers is minimized, as instruments are generated that publicize such policies.”</w:t>
      </w:r>
    </w:p>
    <w:p>
      <w:r>
        <w:t>Finally, the DI positively values that the FNMT has proposed to promote, in the coming months, the necessary legal and technical modifications to make viable the provision of a wholesale and retail CRL validation service for the private sector, which would foster the development of the retail market for validation services of certificates. The Council shares this appreciation of the DI without prejudice to highlighting the responsibility that, for these purposes, lies with the supervisory body of the FNMT, which must ensure that the regulatory framework allows for an effective development of competition.</w:t>
      </w:r>
    </w:p>
    <w:p>
      <w:r>
        <w:t>And lastly, the Council, like the DI, reminds that this Resolution concluding the case with commitments does not exempt from the application of the competition rules in the event that it is detected that the specific wholesale and retail commercial policies that the FNMT adopts in the future regarding the validation services of its certificates may be contrary to them.</w:t>
      </w:r>
    </w:p>
    <w:p>
      <w:r>
        <w:t>In accordance with the previous assessment, the Council understands that it is appropriate to agree to the Conventional Termination of procedure S/0096/08 initiated against the Fábrica Nacional de Moneda y Timbre, conditioned upon the FNMT's compliance with the set of commitments it has proposed, in the terms set forth in the consolidated version sent on December 22, 2010, to which reference is made in the previous Legal Basis FOURTH.</w:t>
      </w:r>
    </w:p>
    <w:p>
      <w:r>
        <w:t>Having seen the cited provisions and the others of general application, the National Competition Council,</w:t>
      </w:r>
    </w:p>
    <w:p>
      <w:r>
        <w:t>RESOLVES</w:t>
      </w:r>
    </w:p>
    <w:p>
      <w:r>
        <w:t>FIRST: To agree, under the provisions of article 52 of the LDC and article 39 of the RDC, to the Conventional Termination of the sanctioning procedure S/0096/08 against the Fábrica Nacional de Moneda y Timbre and to declare binding the commitments presented by the FNMT in the terms set forth in the Legal Basis FOURTH.</w:t>
      </w:r>
    </w:p>
    <w:p>
      <w:r>
        <w:t>SECOND.- The non-compliance with any of the previous commitments will be considered a very serious infringement in accordance with the provisions of article 62.4 c) of the LDC and article 39.7 of the RDC.</w:t>
      </w:r>
    </w:p>
    <w:p>
      <w:r>
        <w:t>THIRD.- To entrust the Directorate of Investigation with the Monitoring of this Resolution of the Council of Conventional Termination.</w:t>
      </w:r>
    </w:p>
    <w:p>
      <w:r>
        <w:t>Communicate this Resolution to the Directorate of Investigation and notify the complainant and the reported party,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