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https://www.cnmc.es/expedientes/s012108</w:t>
      </w:r>
    </w:p>
    <w:p>
      <w:r>
        <w:t>Pages translated : 6</w:t>
      </w:r>
    </w:p>
    <w:p/>
    <w:p>
      <w:r>
        <w:rPr>
          <w:b/>
        </w:rPr>
        <w:t>[Pages 1–3]</w:t>
      </w:r>
    </w:p>
    <w:p>
      <w:r>
        <w:t>NATIONAL COMPETITION COMMISSION</w:t>
      </w:r>
    </w:p>
    <w:p>
      <w:r>
        <w:t>RESOLUTION</w:t>
      </w:r>
    </w:p>
    <w:p>
      <w:r>
        <w:t>Expte. S/0121/08 Official College of Architects of Asturias</w:t>
      </w:r>
    </w:p>
    <w:p>
      <w:r>
        <w:t>Council:</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In Madrid, on May 18, 2009</w:t>
      </w:r>
    </w:p>
    <w:p>
      <w:r>
        <w:t>The Council of the National Competition Commission (the Council), with the composition expressed and being the Rapporteur Councilor Ms. María Jesús González López, has issued the following Resolution in file S/0121/08, Official College of Architects of Asturias, which arises from the complaint filed by Mr. José María Rodríguez Díaz, Mr. Gonzalo Merino Álvarez, and Mr. José Ignacio Torre Rodríguez, the latter in his name and on behalf of the professional commercial company “ECFORA ARKITEKTURA, S.L.P”, all of whom are partners of the same, against the Official College of Architects of Asturias (COAA), for alleged conduct prohibited by Article 1 of Law 15/2007, of July 3, on the Defense of Competition (LDC).</w:t>
      </w:r>
    </w:p>
    <w:p>
      <w:r>
        <w:t>FACTUAL BACKGROUND</w:t>
      </w:r>
    </w:p>
    <w:p>
      <w:r>
        <w:t>1 On November 26, 2008, a complaint was received in the Investigation Directorate from Mr. José María Rodríguez Díaz, Mr. Gonzalo Merino Álvarez, and Mr. José Ignacio Torre Rodríguez, the latter in his name and on behalf of the professional commercial company “ECFORA ARKITEKTURA, S.L.P (hereinafter ECFORA) against the Official College of Architects of Asturias, for alleged conduct prohibited by Article 1 of Law 15/2007, of July 3, on the Defense of Competition (LDC), consisting of an agreement of the Ordinary General Assembly of the COAA dated May 29, 2008, by which the issuance of the mandatory visa will be made indistinctly to the Company or to the professional in the event that the companies are of majority capital of registered architects and if not, it will only be issued in favor of the responsible architect and not the company, (folios 1 to 89).</w:t>
      </w:r>
    </w:p>
    <w:p>
      <w:r>
        <w:t>The complaint includes:</w:t>
      </w:r>
    </w:p>
    <w:p>
      <w:r>
        <w:t>a) Minutes of the Ordinary General Assembly of the Official College of Architects of Asturias on May 29, 2008, among whose agreements highlights the object of the complaint by which it is decided:</w:t>
      </w:r>
    </w:p>
    <w:p>
      <w:r>
        <w:t>"Approve the second additional provision of the organic visa regulation which is drafted as follows:</w:t>
      </w:r>
    </w:p>
    <w:p>
      <w:r>
        <w:t>"In relation to Article 11 of this regulation, the following criteria will be taken into account:</w:t>
      </w:r>
    </w:p>
    <w:p>
      <w:r>
        <w:t>• For companies in which the majority of the share capital or participations, and the administrative positions are held by registered architects, the visa will be issued indistinctly and at the request of the interested parties in favor of the company or the responsible architects.</w:t>
      </w:r>
    </w:p>
    <w:p>
      <w:r>
        <w:t>• For those companies that do not meet the previous conditions, the visa will only be issued in favor of the responsible architect of the work.</w:t>
      </w:r>
    </w:p>
    <w:p>
      <w:r>
        <w:t>All of this without prejudice and pending future regulation of multidisciplinary companies by regulatory means as provided for in the Second Final Provision of Law 2/2007 on Professional Companies, being subject to the provisions of the aforementioned Regulation at the time it is approved, and to the provisions that may develop or complement the said Regulation for the development of the Law on Professional Companies.” (Folios 1 and 2-88 and 89).</w:t>
      </w:r>
    </w:p>
    <w:p>
      <w:r>
        <w:t>b) Appeal against the content of the previous agreement of the COAA presented by the complainants on June 30, 2008, before the Superior College of Architects of Asturias, by virtue of the provisions of Article 70.2 of the Statutes of the COAA. In said appeal, it was alleged, in relation to the referenced agreement and based on the equivalence that, for all purposes, the Law on Professional Companies makes of professional companies to the rest of the registered members:</w:t>
      </w:r>
    </w:p>
    <w:p>
      <w:r>
        <w:t>• Its nullity based on Articles 9.3, 5.2, 9.1, 11.2 of Law 2/2007, of March 15, on Professional Companies.</w:t>
      </w:r>
    </w:p>
    <w:p>
      <w:r>
        <w:t>• Subsidiarily, its annulability based on the Statutes of the COAA, approved by the Resolution of March 27, 2007, of the Ministry of Economy and Public Administration, and published in the Official Bulletin of the Principality of Asturias, dated April 17, 2007, (folios 19 and 20).</w:t>
      </w:r>
    </w:p>
    <w:p>
      <w:r>
        <w:t>2 After receiving the complaint, the Investigation Directorate decided to carry out, in accordance with Article 49.2 of the LDC, a confidential inquiry with the purpose of clarifying the facts and, as a preliminary step to the initiation of the corresponding proceedings, if applicable.</w:t>
      </w:r>
    </w:p>
    <w:p>
      <w:r>
        <w:t>On December 18, 2008, a request for information was sent to the COAA asking them to provide their Statutes and the minutes of the COAA Ordinary General Assembly held on May 29, 2008. They were also asked to explain the visa issuance process and to justify the legal basis for the new wording of the second additional provision and other grounds that may have motivated the adoption of that agreement.</w:t>
      </w:r>
    </w:p>
    <w:p>
      <w:r>
        <w:t>On January 20, a response to the requested information was received (folios 95 to 203) and on March 9, 2009, the COAA sent a copy of the following documentation (folios 204 to 217):</w:t>
      </w:r>
    </w:p>
    <w:p>
      <w:r>
        <w:t>1. Agreement adopted by the Superior Council of Colleges of Architects of Spain dated January 22, 2009, estimating the administrative appeal filed by architects Mr. José María Rodríguez Díaz and Mr. Gonzalo Merino Álvarez against the agreement subject to the complaint. This resolution of the Superior Council shall come into force the day after its publication in the College Bulletin.</w:t>
      </w:r>
    </w:p>
    <w:p>
      <w:r>
        <w:t>2. Agreement adopted by the Governing Board of the COAA dated February 5, 2009, in relation to said Resolution of the Superior Council of Colleges of Architects of Spain.</w:t>
      </w:r>
    </w:p>
    <w:p>
      <w:r>
        <w:t>3. Copy of College Bulletin No. 16/09 of the COAA, in which the aforementioned Agreement of the Governing Board is published.</w:t>
      </w:r>
    </w:p>
    <w:p>
      <w:r>
        <w:t>3 On March 17, 2009, the Investigation Directorate informs the complainants that it understands that their request “has been satisfied by the Agreement adopted by the Superior Council of Colleges of Architects of Spain, dated January 22, 2009, and, consequently, it will proceed to propose to the Council of the CNC the filing of the proceedings, without prejudice to which, in case the current circumstances change, a new complaint could be filed,” (folio 218).</w:t>
      </w:r>
    </w:p>
    <w:p>
      <w:r>
        <w:t>The complainants respond on March 23, 2009, and request that the complaint not be filed since, as of that date, the agreement adopted by the Superior Council of Colleges of Architects of Spain on January 22, 2009, was not final, (folios 222 and 223).</w:t>
      </w:r>
    </w:p>
    <w:p>
      <w:r>
        <w:rPr>
          <w:b/>
        </w:rPr>
        <w:t>[Pages 4–6]</w:t>
      </w:r>
    </w:p>
    <w:p>
      <w:r>
        <w:t>NATIONAL COMPETITION COMMISSION</w:t>
      </w:r>
    </w:p>
    <w:p>
      <w:r>
        <w:t>4 The DI, on April 15, 2009, and based on the provisions of articles 44 and 49.3 of Law 15/2007, of July 3, on the Defense of Competition, proposes to the Council not to initiate the sanctioning procedure and to file the proceedings, and submits the file consisting of 223 pages. The DI bases its proposal on the loss of object:</w:t>
      </w:r>
    </w:p>
    <w:p>
      <w:r>
        <w:t>"Since the agreement of the Superior Council of Architects of Spain dated January 22, 2009, annuls the agreement adopted on May 29, 2008, by the COAA and the Second Additional Provision of the Organic Visa Regulation, this Directorate of Investigation understands that, in the present case, the object of the complaint does not persist and it is not appropriate to assess the impact of article 1 of the LDC. All of this without prejudice to the fact that, as communicated to the complainants on March 17, 2009, they may file a new complaint in case the current circumstances change."</w:t>
      </w:r>
    </w:p>
    <w:p>
      <w:r>
        <w:t>5 The Council, by Agreement of April 29, 2009, requested the Directorate of Investigation to carry out the necessary actions to verify whether the Agreement of the Superior Council of Architects of Spain dated January 22, 2009, had been subject to contentious-administrative appeal before the High Court of Justice of Madrid or, on the contrary, was firm. The DI, in a letter dated May 8, 2009, to which it attaches a letter from the Superior Council of Architects of Spain dated May 6, has confirmed that no contentious-administrative appeal has been filed against the aforementioned Agreement of the Superior Council of Architects of Spain and that, therefore, it is firm.</w:t>
      </w:r>
    </w:p>
    <w:p>
      <w:r>
        <w:t>6 The Council deliberated for the last time and ruled on the matter in its meeting of May 13, 2009.</w:t>
      </w:r>
    </w:p>
    <w:p>
      <w:r>
        <w:t>LEGAL GROUNDS</w:t>
      </w:r>
    </w:p>
    <w:p>
      <w:r>
        <w:t>FIRST.- Article 1.1 of the LDC prohibits any agreement, decision, or collective recommendation, or concerted or consciously parallel practice, that has as its object, produces, or may produce the effect of preventing, restricting, or distorting competition in all or part of the national market (...).</w:t>
      </w:r>
    </w:p>
    <w:p>
      <w:r>
        <w:t>Article 44 of the LDC provides that "the National Competition Commission may decide not to initiate a procedure or agree to file the proceedings or files initiated due to lack or loss of competence or object."</w:t>
      </w:r>
    </w:p>
    <w:p>
      <w:r>
        <w:t>Article 49.3 of the LDC provides that the Council of the Commission may agree not to initiate a proceeding when it considers that there is no indication of infringement of the Law.</w:t>
      </w:r>
    </w:p>
    <w:p>
      <w:r>
        <w:t>The article 5 of the LDC excludes from the scope of application of articles 1, 2, and 3 of the LDC behaviors that, due to their minor importance, cannot significantly affect competition. And article 3 of Regulation 261/2008, of February 22, which approves the Regulation on the Defense of Competition, empowers the Council to declare said articles of the Law inapplicable when the behaviors, considering their legal and economic context, are not suitable to significantly affect competition.</w:t>
      </w:r>
    </w:p>
    <w:p>
      <w:r>
        <w:t>SECOND.- It is recorded in the proceedings carried out by the DI that the COAA, in its meeting of May 29, 2008, adopted an agreement by which a Second Additional Provision was added to the organic regulation of the COAA visa of April 2007, by which Article 11 of the same was interpreted restrictively, which provides that:</w:t>
      </w:r>
    </w:p>
    <w:p>
      <w:r>
        <w:t>"When professional activities are carried out in the name of associative entities, it is an indispensable requirement to identify the professional author or authors of the work, and the signature by him or them of the documentation prepared. (Page 155).</w:t>
      </w:r>
    </w:p>
    <w:p>
      <w:r>
        <w:t>According to this interpretation, discriminatory treatment was given to professional companies depending on whether the ownership of the capital is held by registered architects or other professionals within the scope of the corporate purpose, which in the opinion of the plenary of the Superior Council of Architects of Spain may constitute a legal infringement of the provisions of the Law on Professional Societies.</w:t>
      </w:r>
    </w:p>
    <w:p>
      <w:r>
        <w:t>On the other hand, it is recorded in the minutes of the session of the General Assembly of the COAA that the College was aware of this situation, as it is noted in the same that in the presentation of the proposal "the dean says that the legal vision of the matter is always negative, that is, we are proposed not to approve this issue."</w:t>
      </w:r>
    </w:p>
    <w:p>
      <w:r>
        <w:t>Therefore, the interpretation that the General Assembly of the COAA makes of Article 11 of the organic visa regulation could be anticompetitive and is not supported by Law. And said interpretative Additional Provision was in force during the period from its approval on May 29, 2008, until the agreement of the Governing Board of February 5, 2009, in which it "is subject to what is provided in the resolution of the General Council."</w:t>
      </w:r>
    </w:p>
    <w:p>
      <w:r>
        <w:t>Notwithstanding the above, it is true, as the DI states in its proposal to the Council, that the object of the complaint does not persist since the acceptance of the appeal by the Superior Council of Architects of Spain, which is firm as it has not been appealed as has been verified, has the effect of the immediate annulment of the Second Additional interpretative Provision of Article 11 that is the subject of the file.</w:t>
      </w:r>
    </w:p>
    <w:p>
      <w:r>
        <w:t>THIRD.- The Council agrees with the DI that as of February 5, 2009, the object of the complaint has disappeared, but cannot agree with the basis for filing under article 44 of the LDC since for a period the conduct was in force and if it were anticompetitive or had the capacity to be so, it could have deployed its effects.</w:t>
      </w:r>
    </w:p>
    <w:p>
      <w:r>
        <w:t>However, taking into account the period of validity of the Additional Provision and considering the legal and economic context of the reported conduct, this Council considers that in the present case it has not had the capacity to significantly affect competition, so in application of Royal Decree 261/2008, of February 22, which approves the Regulation on the Defense of Competition, it considers that there are no indications of infringement of articles 1 to 3 of the aforementioned LDC.</w:t>
      </w:r>
    </w:p>
    <w:p>
      <w:r>
        <w:t>For all the above, in view of the cited provisions and the others of general application, the Council of the National Competition Commission</w:t>
      </w:r>
    </w:p>
    <w:p>
      <w:r>
        <w:t>RESOLVES</w:t>
      </w:r>
    </w:p>
    <w:p>
      <w:r>
        <w:t>SOLE.- Not to initiate a sanctioning procedure and to file the proceedings followed by the Directorate of Investigation against the Official College of Architects of Asturias as a result of the complaint filed by Mr. José María Rodríguez Díaz, Mr. Gonzalo Merino Álvarez, and Mr. José Ignacio Torre Rodríguez, for considering that there are no indications of infringement of the Law on Defense of Competition.</w:t>
      </w:r>
    </w:p>
    <w:p>
      <w:r>
        <w:t>Communicate this Resolution to the Directorate of Investigation and notify the complainants,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