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https://www.cnmc.es/expedientes/s012408</w:t>
      </w:r>
    </w:p>
    <w:p>
      <w:r>
        <w:t>Pages translated : 6</w:t>
      </w:r>
    </w:p>
    <w:p/>
    <w:p>
      <w:r>
        <w:rPr>
          <w:b/>
        </w:rPr>
        <w:t>[Pages 1–3]</w:t>
      </w:r>
    </w:p>
    <w:p>
      <w:r>
        <w:t>NATIONAL COMPETITION COMMISSION</w:t>
      </w:r>
    </w:p>
    <w:p>
      <w:r>
        <w:t>RESOLUTION (Expte. S/0124/08 VARLION)</w:t>
      </w:r>
    </w:p>
    <w:p>
      <w:r>
        <w:t>Council:</w:t>
        <w:br/>
        <w:t>Mr. Luis Berenguer Fuster, President</w:t>
        <w:br/>
        <w:t>Mr. Fernando Torremocha y García-Sáenz, Vice President</w:t>
        <w:br/>
        <w:t>Mr. Emilio Conde Fernández-Oliva, Councilor</w:t>
        <w:br/>
        <w:t>Mr. Miguel Cuerdo Mir, Councilor</w:t>
        <w:br/>
        <w:t>Ms. Pilar Sánchez Núñez, Councilor</w:t>
        <w:br/>
        <w:t>Mr. Julio Costas Comesaña, Councilor</w:t>
        <w:br/>
        <w:t>Ms. María Jesús González López, Councilor</w:t>
        <w:br/>
        <w:t>Ms. Inmaculada Gutiérrez Carrizo, Councilor</w:t>
      </w:r>
    </w:p>
    <w:p>
      <w:r>
        <w:t>Madrid, April 2, 2009</w:t>
      </w:r>
    </w:p>
    <w:p>
      <w:r>
        <w:t>The Council of the National Competition Commission (hereinafter the Council), with the composition expressed and being the Rapporteur Councilor Ms. María Jesús González López, has issued the following Resolution in the case S/0124/08 VARLION, initiated by the Directorate of Investigation (DI) of the National Competition Commission (CNC) following the document dated December 10, 2008, submitted by Mr. Alejandro Cózar Cisneros, on behalf and representation of DECATHLON ESPAÑA, S.A.U. (DECATHLON), in which a complaint is made against VARLION ESPAÑA, S.A. (VARLION) for alleged conditional sales practices that are considered to violate Article 1 of Law 15/2007, of July 3, on the Defense of Competition (LDC).</w:t>
      </w:r>
    </w:p>
    <w:p>
      <w:r>
        <w:t>BACKGROUND</w:t>
      </w:r>
    </w:p>
    <w:p>
      <w:r>
        <w:t>1. On March 17, 2009, the Directorate of Investigation submitted to the Council a proposal to archive the proceedings carried out in case S/0124/08 VARLION, and accompanies the proposal with the 326 pages that form the background of the same.</w:t>
      </w:r>
    </w:p>
    <w:p>
      <w:r>
        <w:t>NATIONAL COMPETITION COMMISSION</w:t>
      </w:r>
    </w:p>
    <w:p>
      <w:r>
        <w:t>2. On December 10, 2008, Mr. Alejandro Cózar Cisneros, on behalf and representation of DECATHLON ESPAÑA, S.A.U. (DECATHLON), submitted a document to the DI in which he reported VARLION ESPAÑA, S.A. (VARLION) for alleged anti-competitive practices consisting of conditioning the supply of the Lethal Weapon model padel rackets of the VARLION brand on the withdrawal from sale in its establishments of padel rackets (regardless of the brand) that have a shape similar to the aforementioned model, which the complainant considers contrary to Article 1 of the LDC (folio 7).</w:t>
      </w:r>
    </w:p>
    <w:p>
      <w:r>
        <w:t>3. In the aforementioned document, DECATHLON states that in November 2007 they received a letter from VARLION informing them that they had made the decision not to sell Lethal Weapon model padel rackets to those customers who sell racket models that copy their shape. They accompany the complaint document with a copy of the letter dated November 8, 2007 (folio 33), in which VARLION informs them of the commercial decision not to sell the aforementioned racket models to large customers (4 throughout Spain) who work with a product that copies the shape of these rackets, regardless of the brand. In the same letter, VARLION explains the reasons for this commercial decision which, they add, for the rest of the stores other than large customers will mean that they will not be able to sell any product of the VARLION brand. For its part, DECATHLON considers itself harmed by what it calls VARLION's unilateral decision, both economically and in its image before its customers and regarding its competitors who do sell the product.</w:t>
      </w:r>
    </w:p>
    <w:p>
      <w:r>
        <w:t>4. In accordance with Article 49.2 of Law 15/2007, the Directorate of Investigation initiated a reserved information procedure. On February 18, 2009, it directed a request for information to VARLION, in which it requested information on the market shares in Spain of padel racket manufacturers; the distribution of the Lethal Weapon racket model in a series of establishments and its approximate share; possible distribution contracts and any other relevant data in relation to the complaint filed by DECATHLON. On March 6, the response from VARLION was received. On the same date, information was requested from DECATHLON regarding market shares in Spain of the different producers of padel rackets and the percentage that VARLION's Lethal Weapon rackets represented in their padel racket sales. After an extension, on March 10, the response from DECATHLON was received.</w:t>
      </w:r>
    </w:p>
    <w:p>
      <w:r>
        <w:t>5. The parties in this case are the complainant, DECATHLON ESPAÑA, S.A.U., a subsidiary of the French Decathlon, S.A., a company engaged in the retail marketing of sports articles and currently has 60 establishments distributed throughout the national territory,</w:t>
      </w:r>
    </w:p>
    <w:p>
      <w:r>
        <w:t>NATIONAL COMPETITION COMMISSION</w:t>
      </w:r>
    </w:p>
    <w:p>
      <w:r>
        <w:t>and the accused, VARLION ESPAÑA, S.A., a company engaged in the manufacture and sale of sports articles, specifically and according to the information on its website (www.varlion.com), in the sports of paddle, polo, and racing.</w:t>
      </w:r>
    </w:p>
    <w:p>
      <w:r>
        <w:t>6. From the information obtained during the reserved information procedure, the DI deduces the following facts:</w:t>
      </w:r>
    </w:p>
    <w:p>
      <w:r>
        <w:t>a. The complainant provides a copy of a contract of general terms and conditions for the sale of sports and leisure products, dated April 25, 2003, signed by the Parties. According to point 10 of the said contract, its duration is indefinite, and it contemplates the possibility for either Party to terminate it without any penalty.</w:t>
      </w:r>
    </w:p>
    <w:p>
      <w:r>
        <w:t>b. DECATHLON sent VARLION a new contract dated September 25, 2007, similar to the previous one signed in 2003, except that it includes a new point on traceability and management of waste from electrical and electronic devices and a new annex on advertising insertion in catalogs. This contract was not signed by either party.</w:t>
      </w:r>
    </w:p>
    <w:p>
      <w:r>
        <w:t>c. In a letter from VARLION to DECATHLON dated November 8, 2007, the former informs the latter of its decision not to sell the Lethal Weapon rackets while DECATHLON continues to sell rackets of other brands that they consider to be copies of these. This commercial policy would apply starting in March 2008, with the implementation of their new 2008/9 collection.</w:t>
      </w:r>
    </w:p>
    <w:p>
      <w:r>
        <w:t>d. In the letter mentioned in the previous point, the accused acknowledges that it has not been able to file a complaint against the companies that allegedly copied the Lethal Weapon padel racket model because, although it was registered by VARLION in Spain in 2000, the product had been published and sold since 1996, which had given it public domain. The accused presents a copy of the application for industrial model registration before the Spanish Patent and Trademark Office (OEPM) dated November 23, 2000, and a Certificate-Title from the OEPM certifying the granting of the requested industrial model registration, dated January 28, 2002.</w:t>
      </w:r>
    </w:p>
    <w:p>
      <w:r>
        <w:t>e. According to point eight of the complaint, in July 2008, DECATHLON expressed to VARLION's representative its decision to terminate the commercial relationship.</w:t>
      </w:r>
    </w:p>
    <w:p>
      <w:r>
        <w:t>f. In an email dated August 6, 2008, sent by Félix Regalia of VARLION to Alejandro Cozar of DECATHLON, the former states that "... our brand is available to one of the customers who has always supported us the most, now and/or in the future..." and seeks support to hold a meeting.</w:t>
      </w:r>
    </w:p>
    <w:p>
      <w:r>
        <w:rPr>
          <w:b/>
        </w:rPr>
        <w:t>[Pages 4–6]</w:t>
      </w:r>
    </w:p>
    <w:p>
      <w:r>
        <w:t>NATIONAL COMPETITION COMMISSION</w:t>
      </w:r>
    </w:p>
    <w:p>
      <w:r>
        <w:t>g. None of the Parties provide conclusive data for calculating VARLION's market share in the national padel racket market, nor that of its competitors:</w:t>
      </w:r>
    </w:p>
    <w:p>
      <w:r>
        <w:t>• VARLION, for 2008, considers that its share in units sold would be around 9%. It estimates that the number of rackets sold under the VARLION brand would be below those sold by the brands: Artengo, Boomerang, Dunlop, and Puma, and above those sold by the brands: Vairo, Vision, Bull Pádel, Head, Boomerang, and ONE.</w:t>
      </w:r>
    </w:p>
    <w:p>
      <w:r>
        <w:t>• According to the data provided by DECATHLON, in 2006, 8.4% of the total rackets sold in its establishments were of the VARLION brand (9.7% of the revenue generated by the sale of padel rackets). In 2007, these percentages rose to 10.72% (in volume) and 19.10% (in value). In 2008, VARLION only supplied them with rackets until April. However, the total number of padel rackets sold in DECATHLON establishments grew by 43% compared to the previous year, which represented an increase of 17.9% in value.</w:t>
      </w:r>
    </w:p>
    <w:p>
      <w:r>
        <w:t>The DI also considers that the relevant market is the marketing of padel rackets at the national level, where there are multiple brands, including private labels marketed by large retail establishments.</w:t>
      </w:r>
    </w:p>
    <w:p>
      <w:r>
        <w:t>7. The Council deliberated and ruled on this matter in its meeting of April 1, 2009.</w:t>
      </w:r>
    </w:p>
    <w:p>
      <w:r>
        <w:t>LEGAL GROUNDS</w:t>
      </w:r>
    </w:p>
    <w:p>
      <w:r>
        <w:t>FIRST.- Article 49.3 of Law 15/2007, of July 3, 2007, empowers the Council of the CNC to, at the proposal of the DI, archive the proceedings and not initiate infringement proceedings when it considers that there are no indications of infringement of the LDC.</w:t>
      </w:r>
    </w:p>
    <w:p>
      <w:r>
        <w:t>SECOND.- The purpose of the reserved information carried out by the DI is to investigate whether in the unilateral decision of VARLION reported by DECATHLON, to condition the sale of one of its models of padel rackets on not selling other similar models of the competition, there were indications of infringement of the competition rules.</w:t>
      </w:r>
    </w:p>
    <w:p>
      <w:r>
        <w:t>Notwithstanding that the complaint filed by DECATHLON refers to an infringement of Article 1 of the LDC, the DI has analyzed, considering the unilateral or bilateral nature of the examined conduct, all possible indications of infringement of the LDC, with the Council agreeing with the assessment made by the aforementioned Directorate in understanding that:</w:t>
      </w:r>
    </w:p>
    <w:p>
      <w:r>
        <w:t>1) The reported conduct is not susceptible to the application of the prohibitions of Article 1 of the LDC since the indispensable requirement of bilateral or multilateral conduct is not met, as it is a unilateral decision of VARLION, as DECATHLON itself points out in its complaint.</w:t>
      </w:r>
    </w:p>
    <w:p>
      <w:r>
        <w:t>2) Article 2 of the LDC is not applicable since VARLION does not have a dominant position in the relevant market. According to the information contained in the background, in the market for padel rackets, there are numerous brands, and although VARLION may be considered one of the leading brands, none of the data allows for the presumption of the possibility that it has independence of behavior in the market.</w:t>
      </w:r>
    </w:p>
    <w:p>
      <w:r>
        <w:t>The Council also agrees with the DI that, in any case, we would be facing a bilateral conflict between two operators linked by a contract that must be resolved in the corresponding instances.</w:t>
      </w:r>
    </w:p>
    <w:p>
      <w:r>
        <w:t>THIRD.- Consequently, the Council, like the DI, considers that the unilateral decision of VARLION not to supply or to condition the supply of a certain model of its padel rackets communicated to DECATHLON in November 2007, and which did not materialize as a refusal to supply since the complainant suspended orders beforehand, can be considered a unilateral commercial measure that, not having been adopted from a position of dominance in the market, cannot be understood as falling within the scope of application of the LDC.</w:t>
      </w:r>
    </w:p>
    <w:p>
      <w:r>
        <w:t>For all the above, in light of the cited provisions and other generally applicable provisions, the Council of the National Competition Commission,</w:t>
      </w:r>
    </w:p>
    <w:p>
      <w:r>
        <w:t>HAS RESOLVED</w:t>
      </w:r>
    </w:p>
    <w:p>
      <w:r>
        <w:t>SOLE.- To confirm the proposal of the Directorate of Investigation to this Council not to initiate sanctioning proceedings and to archive the proceedings carried out as a result of the document submitted by DECATHLON ESPAÑA, S.A.U. (DECATHLON), in which it reports VARLION ESPAÑA, S.A. (VARLION) for alleged anti-competitive practices.</w:t>
      </w:r>
    </w:p>
    <w:p>
      <w:r>
        <w:t>Communicate this Resolution to the Directorate of Investigation and notify DECATHLON ESPAÑA, S.A.U. (DECATHLON) and VARLION ESPAÑA, S.A. (VARLION) informing them that it concludes the administrative process,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