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https://www.cnmc.es/expedientes/s012709</w:t>
      </w:r>
    </w:p>
    <w:p>
      <w:r>
        <w:t>Pages translated : 9</w:t>
      </w:r>
    </w:p>
    <w:p/>
    <w:p>
      <w:r>
        <w:rPr>
          <w:b/>
        </w:rPr>
        <w:t>[Pages 1–3]</w:t>
      </w:r>
    </w:p>
    <w:p>
      <w:r>
        <w:t xml:space="preserve">RESOLUTION  </w:t>
        <w:br/>
        <w:t xml:space="preserve">Expte. S/0127/09, Attorneys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May 20, 2010  </w:t>
        <w:br/>
        <w:t xml:space="preserve">The Council of the National Competition Commission, with the composition expressed and being the Rapporteur Councilor Mr. Julio Costas Comesaña, has issued the following Resolution in the sanctioning file S/0127/09 Attorneys, initiated by the Investigation Directorate at the request of the Council of the National Competition Commission, against the General Council of Attorneys of the Courts of Spain for engaging in conduct prohibited by Article 1 of Law 15/2007, of July 3, on the Defense of Competition, consisting of conditioning the substitution of attorneys to the prior satisfaction of the expenses and rights accrued at the time of substitution.  </w:t>
        <w:br/>
        <w:t xml:space="preserve">FACTUAL BACKGROUND  </w:t>
        <w:br/>
        <w:t xml:space="preserve">1. On December 29, 2008, two writings from XXX, Attorney of the Courts affiliated with the Bar Association of Madrid, were received by the National Competition Commission (CNC), in which he filed a complaint against the General Council of Attorneys of the Courts of Spain and against the Bar Association of Madrid for alleged conduct prohibited by Articles 1 and 2 of Law 15/2007, of July 3, on the Defense of Competition (LDC).  </w:t>
        <w:br/>
        <w:t xml:space="preserve">On one hand, he denounced the agreement and application of Articles 1, 3, 4, 5, and 6 of the Regulation of the Ordinary Membership Fee of the Bar Association of Madrid, which establishes a mandatory variable membership fee that accrues merely by the appearance of the member, and which would constitute an unjustified restriction on the exercise of the profession for those attorneys who do not have high economic resources to meet such fees, as well as an unjustified advantage for those who do.  </w:t>
        <w:br/>
        <w:t xml:space="preserve">On the other hand, he denounced that the establishment and application of statutory provisions on the substitution of attorneys, both in the General Statute (Article 30.1) and in the Statute of the Bar Association of Madrid (Article 91), constitute a barrier to the exercise of the profession, as they have the effect of reserving certain professional actions to those attorneys who, having a high level of income, can afford to pay large sums in case of substitution, in addition to corporately shielding the interests of the attorneys to the detriment of consumers, who cannot turn to another professional until they have settled debts with the outgoing attorney.  </w:t>
        <w:br/>
        <w:t xml:space="preserve">2. The Investigation Directorate (DI), within the framework established in Article 49.2 of the LDC, initiated a reserved investigation in order to preliminarily determine the presence of circumstances that would justify the initiation of disciplinary proceedings for alleged prohibited conduct under the LDC. Given that the facts concerning the mandatory variable membership fee and Article 91 of the Statute of the Bar Association of Madrid affect exclusively the territorial scope of the Community of Madrid, in application of Law 1/2002, of February 21, on the coordination of the competencies of the State and the Autonomous Communities in matters of competition defense, the DI transferred the corresponding part of the file to the competition defense bodies of the Community of Madrid. Regarding the conduct of the General Council of Attorneys of the Courts of Spain concerning the substitution of attorneys, as a result of the reserved investigation, the DI raised a proposal for filing to the CNC Council, considering that there were no indications of infringement of the LDC, since although Article 30.1 of the General Statute could restrict free competition among Attorneys, its effects would be minimal as it is applicable only to the two Bar Associations of Asturias. However, the CNC Council agreed, on June 16, 2009: “To return to the DI the preliminary actions recorded in file S/0127/09, Attorneys, in order for it to continue processing with the initiation of a sanctioning file against the General Council of Attorneys of Spain for the provisions of Article 30.1 of the General Statute.”  </w:t>
        <w:br/>
        <w:t xml:space="preserve">3. On July 1, 2009, the DI agreed, in accordance with the provisions of Article 49.1 of the LDC, to initiate sanctioning proceedings against the General Council of Attorneys of the Courts of Spain for restrictive practices of competition prohibited in Article 1 of the LDC. On October 9, 2009, the DI formulated a Statement of Specific Facts (PCH) in which it concluded that Article 30.1 of the General Statute of Attorneys of the Courts, approved by Royal Decree 1281/2002, of December 5, constitutes an infringement of Article 1 of the LDC, considering the General Council of Attorneys of the Courts of Spain responsible for this infringement, which was notified to the parties without the General Council making allegations. On December 14, 2009, in accordance with the provisions of Article 33.1 of the Competition Defense Regulation, the instruction phase was closed, which was notified to the interested parties by a letter sent on December 15, 2009. On January 13, 2010, a letter from the General Council of Attorneys of the Courts of Spain was received by the DI requesting the initiation of the processing of a Conventional Termination for the aforementioned sanctioning file. On January 18, 2010, the DI agreed to initiate the actions aimed at the Conventional Termination of the referenced sanctioning procedure, in accordance with Article 39 of the RDC, suspending the maximum resolution period in accordance with Article 37.1.g) of the LDC until the conclusion of the Conventional Termination.  </w:t>
        <w:br/>
        <w:t xml:space="preserve">On February 18, 2010, a letter from the General Council of Attorneys of the Courts of Spain was received by the CNC, submitting a proposal for commitments that, in accordance with the provisions of Article 39 of the RDC, was forwarded to the CNC Council for its knowledge, and was notified to the complainant so that he could present any allegations he deemed appropriate. The complainant made allegations by means of a letter received by the CNC on March 9, 2010.  </w:t>
        <w:br/>
        <w:t xml:space="preserve">4. On January 9, 2010, the complainant requested the CNC Council to order the DI to carry out a series of tests and to continue the sanctioning procedure as requested to the DI. By Agreement of March 22, 2010, the Council declared its incompetence to rule on both issues requested by the complainant, as the file was in the instruction phase at that time and it was the DI's responsibility to resolve the issues raised by the parties.  </w:t>
        <w:br/>
        <w:t xml:space="preserve">5. On March 26, 2010, in compliance with the provisions of Articles 52 of the LDC and 39.5 of the RDC, the DI sent the CNC Council a Proposal for Conventional Termination in the referenced file.  </w:t>
        <w:br/>
        <w:t xml:space="preserve">6. The Council of the National Competition Commission deliberated and ruled on this file in its meeting of May 5, 2010.  </w:t>
        <w:br/>
        <w:t xml:space="preserve">7. The interested parties in this file S/0127/09 are:  </w:t>
        <w:br/>
        <w:t xml:space="preserve">- XXX  </w:t>
        <w:br/>
        <w:t xml:space="preserve">- General Council of Attorneys of the Courts of Spain  </w:t>
        <w:br/>
        <w:t xml:space="preserve">PROVEN FACTS  </w:t>
        <w:br/>
        <w:t xml:space="preserve">1. The complainant, XXX, is an Attorney of the Courts, registered number 631 of the Bar Association of Madrid.  </w:t>
        <w:br/>
        <w:t xml:space="preserve">The defendant, the GENERAL COUNCIL OF ATTORNEYS OF THE COURTS OF SPAIN (General Council) is the superior corporate entity of attorneys, for representative, consultative, coordination, and direction purposes, at the state and international levels, and the only state disciplinary corporate instance. It has the status of a public law corporation, with its own legal personality and full capacity to fulfill its purposes. The organs of the Council are the Permanent Commission, the Executive Committee, and its President.  </w:t>
        <w:br/>
        <w:t xml:space="preserve">2. Royal Decree 1281/2002, of December 5, which approves the General Statute of Attorneys of the Courts of Spain, establishes in its Article 30.1 that:  </w:t>
        <w:br/>
        <w:t>“The attorney who accepts representation in a matter in which another colleague has intervened or is intervening in the same instance is obliged to satisfy the expenses and rights accrued at the time of substitution, without limiting the right</w:t>
      </w:r>
    </w:p>
    <w:p>
      <w:r>
        <w:rPr>
          <w:b/>
        </w:rPr>
        <w:t>[Pages 4–6]</w:t>
      </w:r>
    </w:p>
    <w:p>
      <w:r>
        <w:t>the sums will be set by the Governing Board of the Bar Association."</w:t>
      </w:r>
    </w:p>
    <w:p>
      <w:r>
        <w:t>3. The General Council of Attorneys proposes in its writing of February 16, 2010, the following commitments:</w:t>
        <w:br/>
        <w:t>1. To provide a new wording to Article 30 of the General Statute of Attorneys of the Courts of Spain, approved by RD 1281/2002, of December 5, in the following terms:</w:t>
        <w:br/>
        <w:t>"Art. 30. Collaboration between professionals on the occasion of substitution.</w:t>
        <w:br/>
        <w:t>The attorney who ceases representation is obliged to return the documentation in their possession and to provide the new attorney with the information necessary to continue the effective exercise of legal representation of the principal."</w:t>
        <w:br/>
        <w:t>This agreement was adopted by the Plenary of the General Council in an extraordinary session on 07.13.09, and sent to the Ministry of Justice for processing in accordance with the provisions of Article 6 of Law 2/1974, of February 13, on professional associations.</w:t>
        <w:br/>
        <w:t>2. To propose, for the new General Statute - currently being drafted -, regarding the regime of substitution between attorneys, a wording similar to the aforementioned.</w:t>
        <w:br/>
        <w:t>This text is currently under study for observations and allegations by the territorial Bar Associations - to which it was sent after its approval by the Executive Committee in a session on 12.28.09 - and for any observations that may be made by the Ministry of Economy and Finance, to whom it has also been sent.</w:t>
        <w:br/>
        <w:t>The initially approved text of the provision corresponding to Article 30 of the current General Statute literally states (fol. 864-5):</w:t>
        <w:br/>
        <w:t>"Art. 19. Collaboration between professionals.</w:t>
        <w:br/>
        <w:t>The attorney who ceases representation is obliged to return the documentation in their possession and to provide the new attorney with the information necessary to continue the effective exercise of legal representation of the principal."</w:t>
        <w:br/>
        <w:t>LEGAL GROUNDS</w:t>
        <w:br/>
        <w:t>First.- Purpose of the proceeding</w:t>
        <w:br/>
        <w:t>Article 52 of the LDC establishes the possibility for the Council of the CNC to resolve the termination of the sanctioning procedure when the alleged offenders propose commitments that resolve the effects on competition arising from the conduct subject to the proceeding and sufficiently guarantee the public interest.</w:t>
        <w:br/>
        <w:t>In this case, the conduct subject to the proceeding initiated against the General Council is the provision of Article 30.1 of the General Statute, which establishes a substitution regime in representation contrary to the LDC. The Investigation Directorate has considered that the elimination of this substitution regime in Article 30.1 of the current General Statute, and the commitment not to include it in the draft of the new General Statute, currently under processing (Proven Fact 3), resolves its effects on competition, sufficiently guaranteeing the public interest, so that the Conventional Termination would meet the requirements set forth in Article 52 of the LDC.</w:t>
        <w:br/>
        <w:t>The complainant alleges, in summary, that the requirements for Conventional Termination are not met because: (1) The implementation of a substitution regime in representation is attributable to the General Council and also to the Bar Associations, several of which have incorporated the General Statute into their Statutes, altering competition in a supra-autonomous scope. Therefore, if the proceeding concludes with Conventional Termination, a substitution regime incompatible with the LDC will persist in large areas of the national territory. (2) The public interest demands determining which Bar Associations implemented or contributed to implementing a substitution regime incompatible with the LDC, and that responsibilities be demanded and this substitution regime be eliminated from the national territory. (3) The elimination of 30.1 of the General Statute would not resolve its effects on competition, as it was applied to the complainant by the Bar Association of Madrid to impose a sanction and other attorneys may find themselves in a similar situation in Spain. (4) It is also necessary to declare that Article 30.1 of the General Statute and those of statutes concordant with it constitute practices contrary to the LDC, to facilitate the compensation for damages that may have been caused by its application.</w:t>
        <w:br/>
        <w:t>In its Resolution of June 26, 2009, in accordance with the provisions of arts. 34.3 of the LDC and 25.1.b) of the RDC, this Council resolved "To return to the DI the preliminary proceedings contained in the file S/0127/09, Attorneys, in order for it to continue its processing with the initiation of a sanctioning proceeding against the General Council of Attorneys of the Courts of Spain for the provisions of Article 30.1 of the General Statute." In exercising its exclusive competence to initiate the sanctioning procedure (art. 49.1 LDC), the DI initiated a sanctioning procedure against the General Council, and having carried out the necessary instructional acts to clarify the facts and determine responsibilities (art. 50.1 LDC), formulated and notified PCH in which it concludes that the aforementioned provision of the Statutes of the General Council, insofar as it conditions the substitution of attorney on the payment by the attorney accepting the representation of the expenses and rights of the substituted attorney accrued at the time of substitution, constitutes an infringement of art. 1 of the LDC. Consequently, the object of the present proceeding delineated by the DI in the exercise of its instructional powers is the compliance with the competition defense legislation of Article 30.1 of the General Statute of the General Council of Attorneys and, in particular, whether the commitments offered by the General Council resolve the competition problems appreciated by the Council in its cited Resolution of June 26, 2009, sufficiently guaranteeing the public interest.</w:t>
        <w:br/>
        <w:t>Therefore, the Council agrees with the DI that it is not appropriate to analyze within the framework of this sanctioning proceeding the allegations made by the complainant regarding the conduct that other Bar Associations of Attorneys may have carried out or are carrying out, nor the practice of the evidence proposed by the complainant that seems to be aimed at proving an alleged collusion between the Council and the various Associations. In particular, the complainant proposed: a) To require the General Council to provide the list of individuals or entities that, within it, voted favorably on the text of art. 30.1 of the General Statute, if there was any individual or entity that voted against, indicating, in their case, their identity; and minutes of the meetings held to approve the General Statute. b) To indicate whether it is aware that any regional Bar Council or Bar Association has ever expressed opposition to the content of Article 30.1 of the General Statute. c) To provide the list of Statutes of regional Bar Councils or Bar Associations in whose text the General Statute has been incorporated as a normative element of their legal regime, which have a substitution regime in representation concordant or coinciding with that of art. 30.1 of the General Statute or whose final approval has been carried out in the corporate sphere by the General Council. It also requests that the Investigation Directorate incorporate into the file the Statutes of the regional Bar Councils and Bar Associations, except for those of the Bar Association of Madrid that are already in the file, formulate a new Statement of Specific Facts and consider the possible commission by the Council of an infringement of art. 62.e of the LDC consisting of not responding to the questions of the CNC or doing so incompletely, inaccurately, or misleadingly.</w:t>
        <w:br/>
        <w:t>Nevertheless, the Investigation Directorate, in its Proposal for Conventional Termination, indicates that it will communicate to the regional competition authorities the possible existence of restrictions on competition in the substitution regime of attorneys of the Bar Associations in their territories, should they deem it appropriate to investigate it, as well as that it will investigate this conduct in the Bar Associations of the Autonomous Communities where there is no competition defense authority (Asturias, Cantabria, Balearic Islands, Navarra, La Rioja, Ceuta, and Melilla).</w:t>
        <w:br/>
        <w:t>Second.- Legal assessment of the commitments</w:t>
        <w:br/>
        <w:t>Article 1.1 of the LDC "prohibits any agreement, decision or collective recommendation, or concerted or consciously parallel practice, that has as its object, produces or may produce the effect of preventing, restricting or distorting competition in all or part of the national market...".</w:t>
        <w:br/>
        <w:t>Article 30.1 of Royal Decree 1281/2002, of December 5, which approves the General Statute of Attorneys of the Courts of Spain establishes that "The attorney who accepts representation in a matter in which another colleague is intervening or has intervened in the same instance is obliged to satisfy the expenses and rights accrued at the time of substitution, without limiting the right of the client to effect the substitution between attorneys. If there is no agreement between the attorneys, the amount of...</w:t>
      </w:r>
    </w:p>
    <w:p>
      <w:r>
        <w:rPr>
          <w:b/>
        </w:rPr>
        <w:t>[Pages 7–9]</w:t>
      </w:r>
    </w:p>
    <w:p>
      <w:r>
        <w:t>the amounts will be set by the Governing Board of the Bar Association.” In relation to this provision, this Council of the CNC in its Report on the restrictions to competition in the regulatory framework of the activity of Attorneys of the Courts dated May 20, 2009 (paragraphs 211 to 214) stated that:</w:t>
      </w:r>
    </w:p>
    <w:p>
      <w:r>
        <w:t>“…it greatly hinders substitution and competition among Attorneys. For the purposes of what is being discussed in this section, this implies an entry cost for any Attorney who wishes to change their territorial demarcation attracted by a greater potential business volume. Moreover, on the consumer side, it also significantly reduces the possibility of exercising their right to choose an Attorney, as it imposes costs on that change.</w:t>
      </w:r>
    </w:p>
    <w:p>
      <w:r>
        <w:t>The Council of State, in its opinion on the EGPT (General Statute of Attorneys), stated that this provision of the Statute was “excessive,” among other reasons, because it projected onto the new Attorney aspects that belong to the relationships between the previous one and the client.</w:t>
      </w:r>
    </w:p>
    <w:p>
      <w:r>
        <w:t>In the opinion of the CNC, this provision contained in the Statute of Attorneys represents a clear barrier to competition that lacks any justification and that, as far as is known, is not found in any other profession, so its elimination should be addressed. It should be noted that, in relation to this matter, the 1997 reform of the Law on Professional Associations clearly eliminated the possibility that they had to require a “venia” for the change or substitution of professionals. The venia was an authorization that the first professional had to grant to the second professional when the client decided to replace the first with the second; the problem was that this authorization often became a real barrier, precisely due to the requirement of such economic compensations.”</w:t>
      </w:r>
    </w:p>
    <w:p>
      <w:r>
        <w:t>To the extent that the commitments presented by the General Council of Attorneys consist of removing from the current art. 30.1 of the General Statute any reference to the obligation of the incoming attorney to satisfy the expenses and rights accrued at the time of substitution by the outgoing attorney, and to maintain this removal in the draft of the new regulation that will replace the current General Statute, the Council of the CNC considers that such commitments meet the requirements that, in accordance with Article 52.1 of the LDC, allow for the Conventional Termination of the sanctioning file.</w:t>
      </w:r>
    </w:p>
    <w:p>
      <w:r>
        <w:t>The complainant alleged that if the commitments proposed by the defendant were accepted, they should be supplemented with others: (1) To send the full text of the “Draft General Statute” so that the CNC and the complainant can verify whether its substitution regime complies with the LDC. (2) Not to include in its General Statute a substitution regime similar to that of art. 30.1 in the future. (3) To send the CNC the new General Statute that is finally approved, before sending it to the Government, as well as any future modification of the General Statute, so that it can verify—before its approval by the Government—that it complies with the LDC regarding the substitution regime in representation, all without prejudice to the legality control that the Government must carry out in accordance with Article 6.2 of the Law on Professional Associations. (4) To remove the negative effects of the application of art. 30.1 of the General Statute and, in particular, to reimburse the complainant for the expenses related to their representation in the complaint that originated this file and the 1/2010, before the Competition Defense Tribunal of Madrid. (5) To communicate to all attorneys in Spain the content of the Conventional Termination agreement that, if applicable, the Council of the CNC adopts in various newspapers and on the Web, both of the General Council and of the Bar Associations.</w:t>
      </w:r>
    </w:p>
    <w:p>
      <w:r>
        <w:t>The Council agrees with the DI that the commitments related to the submission of the draft Statute and the Statute before its approval, as well as the commitment not to include in the future articles similar to 30.1 are not necessary, since the General Statutes are approved by Royal Decree and, at the appropriate time and prior to their approval, they will be submitted to the CNC for a report in the exercise of the advisory powers attributed to it by Article 25 of the LDC in relation to projects and proposals for regulations that affect competition. All this without prejudice to the fact that, in the face of any restriction of competition that may arise in the future regarding the substitution regime of attorneys, a new complaint may be filed with the CNC. Regarding the request for reimbursement of expenses by the Bar Association of Madrid for the complaints filed before the CNC and the Competition Defense Tribunal of Madrid, the CNC is not the competent body to raise and resolve such a matter. Finally, in relation to the publicity of this Resolution, and as a manifestation of the principle of transparency that should guide the actions of the CNC, Article 27.1 of the LDC imposes the obligation of publicity, in particular, of all resolutions that conclude the procedure in sanctioning files. Therefore, in order to guarantee the effectiveness of this Resolution of Conventional Termination, in accordance with the provisions of art. 53.2 of the LDC, the Council considers it appropriate to impose on the General Council of Attorneys of the Courts of Spain the obligation to communicate this Resolution of Conventional Termination to all its territorial Bar Associations so that, in turn, each of them can convey it to their members.</w:t>
      </w:r>
    </w:p>
    <w:p>
      <w:r>
        <w:t>For all the above, having regard to the cited legal and regulatory provisions and those of general application, the Council of the National Competition Commission</w:t>
      </w:r>
    </w:p>
    <w:p>
      <w:r>
        <w:t>HAS RESOLVED</w:t>
      </w:r>
    </w:p>
    <w:p>
      <w:r>
        <w:t>First.- To declare the Conventional Termination of the sanctioning file S/0127/09, Attorneys, considering adequate and binding the commitments presented by the General Council of Attorneys of the Courts of Spain included in the Proven Fact 3 of this Resolution.</w:t>
      </w:r>
    </w:p>
    <w:p>
      <w:r>
        <w:t>Second.- To order the General Council of Attorneys of the Courts of Spain to communicate this Resolution of Conventional Termination to all its territorial Bar Associations so that, in turn, each of them can convey it to their members.</w:t>
      </w:r>
    </w:p>
    <w:p>
      <w:r>
        <w:t>Third.- The non-compliance with the commitments presented and the obligation of publicity imposed will be considered a very serious infringement in accordance with the provisions of Article 62.4 c) of the LDC and Article 39.7 of the RDC.</w:t>
      </w:r>
    </w:p>
    <w:p>
      <w:r>
        <w:t>Fourth.- To entrust the Investigation Directorate with the Monitoring of this Agreement of Conventional Termination.</w:t>
      </w:r>
    </w:p>
    <w:p>
      <w:r>
        <w:t>Communicate this Resolution to the Investigation Directorate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