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https://www.cnmc.es/expedientes/s012909</w:t>
      </w:r>
    </w:p>
    <w:p>
      <w:r>
        <w:t>Pages translated : 8</w:t>
      </w:r>
    </w:p>
    <w:p/>
    <w:p>
      <w:r>
        <w:rPr>
          <w:b/>
        </w:rPr>
        <w:t>[Pages 1–3]</w:t>
      </w:r>
    </w:p>
    <w:p>
      <w:r>
        <w:t xml:space="preserve">RESOLUTION  </w:t>
        <w:br/>
        <w:t xml:space="preserve">(File S/0129/09 Distribution of Toys in Large Stores)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In Madrid, on November 2, 2009</w:t>
      </w:r>
    </w:p>
    <w:p>
      <w:r>
        <w:t>THE PLENARY of the Council of the National Competition Commission, with the composition stated in the margin and with Mr. Councilor Fernando Torremocha García-Sáenz as Rapporteur, has issued a Resolution in File S/129/09 Distribution of Toys in Large Stores, initiated by a complaint from the Consumers and Users in Action Association (FACUA) against Alcampo, Carrefour, El Corte Inglés, Eroski, Hipercor, and Toys’R’Us, for alleged prohibited conduct under Article 1 of Law 15/2007 of July 3, on the Defense of Competition, consisting of price fixing.</w:t>
      </w:r>
    </w:p>
    <w:p>
      <w:r>
        <w:t xml:space="preserve">FACTUAL BACKGROUND  </w:t>
        <w:br/>
        <w:t>FIRST.- FACUA (Consumers and Users in Action Association), on December 24, 2008, submitted a document to the National Competition Commission (Pages 1 and following) stating that it "has conducted a comparative study in six large commercial surfaces in Spain on the prices of 118 toys for all ages from twenty-three manufacturers." "The establishments included in the study are ALCAMPO, CARREFOUR, EL CORTE INGLES, EROSKI, HIPERCOR, and TOYS’R’Us, with locations throughout Spain.</w:t>
      </w:r>
    </w:p>
    <w:p>
      <w:r>
        <w:t xml:space="preserve">In the complaint document from FACUA, it is established:  </w:t>
        <w:br/>
        <w:t>1st that in conducting this study, it has been detected that most toys have almost identical prices in these large commercial surfaces. The average fluctuation that consumers may find is only 2.9%. During Christmas 2007, the detected price differences averaged 4%.</w:t>
      </w:r>
    </w:p>
    <w:p>
      <w:r>
        <w:t>2nd The study found that in 62% of the surveyed toys, the differences do not exceed 2% between the most expensive and the cheapest price. The maximum price fluctuation that the consumer can find in these large stores exceeds 10% in only ten of the 118 toys studied.</w:t>
      </w:r>
    </w:p>
    <w:p>
      <w:r>
        <w:t>3rd Specifically, 73 of the toys vary in price between 0 and 2%; 20 toys have a maximum difference between 2.1% and 5%; 15 toys vary between 5.1% and 10%; 6 toys do so between 10.1% and 15%; 2 toys, between 15.1% and 20%; and another 2 toys fluctuate in price by more than 20%.</w:t>
      </w:r>
    </w:p>
    <w:p>
      <w:r>
        <w:t xml:space="preserve">SECOND.- The Investigation Directorate, on January 16, 2009, agrees to carry out a confidential inquiry, pursuant to the provisions of Article 49.2 of Law 15/2007 of July 3, on the Defense of Competition (Pages 12 and following).  </w:t>
        <w:br/>
        <w:t>And in accordance with the provisions of Article 39.1 of the same Law, it requests EROSKI, CARREFOUR, EL CORTE INGLES, HIPERCOR, ALCAMPO, TOYS’R’Us, MATTEL ESPAÑA SA, IMC TOYS SA, HASBRO IBERIA SL, and FAMOSA ESPAÑA to provide information and submit a series of required data.</w:t>
      </w:r>
    </w:p>
    <w:p>
      <w:r>
        <w:t>THIRD.- The Investigation Directorate, on October 5, 2009, submitted to this Council of the National Competition Commission a Proposal for Filing, in accordance with the provisions of Article 49.3 of Law 15/2007 of July 3, on the Defense of Competition, considering that there are no indications of infringement of the aforementioned Law.</w:t>
      </w:r>
    </w:p>
    <w:p>
      <w:r>
        <w:t>FOURTH.- The Council of the National Competition Commission deliberated and issued this Resolution in the Plenary on October 28, 2009.</w:t>
      </w:r>
    </w:p>
    <w:p>
      <w:r>
        <w:t xml:space="preserve">PROVEN FACTS  </w:t>
        <w:br/>
        <w:t xml:space="preserve">FIRST.- The parties in this File are as follows:  </w:t>
        <w:br/>
        <w:t xml:space="preserve">1st The complainant is FACUA. An organization, non-profit, dedicated since 1981 to defending the interests of consumers.  </w:t>
        <w:br/>
        <w:t xml:space="preserve">2nd The defendants are:  </w:t>
        <w:br/>
        <w:t>• ALCAMPO, a subsidiary of hypermarkets in Spain of the French group AUCHAN. It began its activities in Spain in 1981 and is currently present in 14 Autonomous Communities, where it has 48 hypermarkets and 25 gas stations.</w:t>
      </w:r>
    </w:p>
    <w:p>
      <w:r>
        <w:t>• CARREFOUR, a subsidiary of the French group CARREFOUR. It began its activities in Spain in 1973 and is currently present in the 17 Autonomous Communities, where it has 161 hypermarkets, 90 supermarkets, 110 shopping galleries, 183 finance and insurance offices, 80 travel agencies, and 81 gas stations.</w:t>
      </w:r>
    </w:p>
    <w:p>
      <w:r>
        <w:t>• EL CORTE INGLES, a Spanish company created in 1940 in the field of commercial distribution and, in particular, department stores. It is currently the head of a group that includes department stores, hypermarkets, supermarkets, DIY centers, travel agencies, optical stores, insurance companies, financial services, and telecommunications.</w:t>
      </w:r>
    </w:p>
    <w:p>
      <w:r>
        <w:t>• HIPERCOR, a subsidiary of the El Corte Inglés group. It began its activities in 1980 and currently has 36 centers distributed throughout the national territory.</w:t>
      </w:r>
    </w:p>
    <w:p>
      <w:r>
        <w:t>• TOYS’R’Us IBERIA, a subsidiary of Toys’R’Us, began its activities in Spain in 1991, currently having 42 establishments distributed throughout the national geography.</w:t>
      </w:r>
    </w:p>
    <w:p>
      <w:r>
        <w:t>• EROSKI is a cooperative society created in 1969 in the field of commercial distribution. It is currently present in the 17 Autonomous Communities where it has hypermarkets, supermarkets, travel agencies, gas stations, sports stores, perfumeries, and leisure and cultural centers.</w:t>
      </w:r>
    </w:p>
    <w:p>
      <w:r>
        <w:t xml:space="preserve">3rd The manufacturers are:  </w:t>
        <w:br/>
        <w:t>• MATTEL ESPAÑA SA., a subsidiary of the Mattel group, dedicated to the manufacture and marketing of toys of the following brands, among others: Barbie, Hannah Montana, Fisher Price, Polly Pocket, Batman, Cars, etc.</w:t>
      </w:r>
    </w:p>
    <w:p>
      <w:r>
        <w:t>• HASBRO IBERIA SL., a subsidiary of the American group Hasbro. It began its activities in Spain in 1981 and is dedicated to the manufacture and marketing of toys of the following brands, among others: Action Man, Transformers, Star Wars, MB, Playskool, Parker, etc.</w:t>
      </w:r>
    </w:p>
    <w:p>
      <w:r>
        <w:t>• FAMOSA, a Spanish company created in 1957, dedicated to the manufacture and marketing of toys of the following brands, among others: Nancy, Nenuco, Pin y Pon, Feber, Walt Disney, Warner Bros, etc.</w:t>
      </w:r>
    </w:p>
    <w:p>
      <w:r>
        <w:t>• IMC TOYS SA., a subsidiary of the American group of the same name, is dedicated to the manufacture and marketing of the following brands, among others: Toy Story, Winnie The Pooh, Cars, Harry Potter, Barbie, Real Madrid, FC Barcelona, etc.</w:t>
      </w:r>
    </w:p>
    <w:p>
      <w:r>
        <w:t>SECOND.- The alleged practice takes place in the market for the distribution and marketing of toys. A market that in Spain, as in other countries, has experienced an evolution characterized by: modest growth in production; the relocation of part of the production process; high concentration of activity in the Valencian Community, Catalonia, and Madrid; an increase in imports from emerging countries; an increase in the trade deficit; a reduction in employment and the number of...</w:t>
      </w:r>
    </w:p>
    <w:p>
      <w:r>
        <w:rPr>
          <w:b/>
        </w:rPr>
        <w:t>[Pages 4–6]</w:t>
      </w:r>
    </w:p>
    <w:p>
      <w:r>
        <w:t>production; the delocalization of part of the production process; the high concentration of activity in the Comunidad Valenciana, Catalonia, and Madrid; the increase in imports from emerging countries; the increase in the trade deficit; the reduction of employment and the number of companies; the emergence of electronic toys to the detriment of traditional ones; the strong concentration of demand during the Christmas campaign (around 72% of sales occur during this time of year).</w:t>
      </w:r>
    </w:p>
    <w:p>
      <w:r>
        <w:t>According to ESADE information, the main variables of this sector are reflected in the following table:</w:t>
      </w:r>
    </w:p>
    <w:p>
      <w:r>
        <w:t>TABLE 1</w:t>
        <w:br/>
        <w:t>THE SPANISH TOY SECTOR</w:t>
        <w:br/>
        <w:t>(millions € and number)</w:t>
      </w:r>
    </w:p>
    <w:p>
      <w:r>
        <w:t>2007 2006 2005 2004 2003</w:t>
        <w:br/>
        <w:t>Production 1036.0 977.0 979.0 985.0 1022.0</w:t>
        <w:br/>
        <w:t>Exports 402.3 353.0 370.7 373.2 429.2</w:t>
        <w:br/>
        <w:t>Imports 999.9 913.3 869.2 787.6 741.6</w:t>
        <w:br/>
        <w:t>Apparent consumption 1633.6 1537.3 1477.5 1399.3 1334.4</w:t>
        <w:br/>
        <w:t>Number of companies 203 203 203 216 216</w:t>
        <w:br/>
        <w:t>Source: ESADEGUÍAME based on data from the Spanish Association of Toy Manufacturers</w:t>
      </w:r>
    </w:p>
    <w:p>
      <w:r>
        <w:t>The structure of the supply according to information obtained from a concentration file and from the magazine ALIMARKET is as follows:</w:t>
      </w:r>
    </w:p>
    <w:p>
      <w:r>
        <w:t>TABLE 2</w:t>
        <w:br/>
        <w:t>STRUCTURE OF THE SUPPLY IN SPAIN</w:t>
      </w:r>
    </w:p>
    <w:p>
      <w:r>
        <w:t>2004 (%) (1) 2007 (%) (2)</w:t>
        <w:br/>
        <w:t>Mattel [10-20] 11.6</w:t>
        <w:br/>
        <w:t>Hasbro [0-10] 10.0</w:t>
        <w:br/>
        <w:t>Famosa [0-10] 8.1</w:t>
        <w:br/>
        <w:t>IMC Toys [0-10]</w:t>
        <w:br/>
        <w:t>Smoby [0-10] 3.5</w:t>
        <w:br/>
        <w:t>Bandai [0-10] 3.1</w:t>
        <w:br/>
        <w:t>Simba [0-10]</w:t>
        <w:br/>
        <w:t>Subtotal [40-50] 36.3</w:t>
        <w:br/>
        <w:t>Rest [50-60] 63.7</w:t>
        <w:br/>
        <w:t>TOTAL 100.0 100.0</w:t>
        <w:br/>
        <w:t>(1) File N-05069 Vista Desarrollo/Famosa</w:t>
        <w:br/>
        <w:t>(2) Alimarket. No. 218, June 2008</w:t>
      </w:r>
    </w:p>
    <w:p>
      <w:r>
        <w:t>From the demand perspective, there is no information available on the main clients at a global level. However, from the information contained in the previously mentioned concentration file, as well as from the data from the Alimarket magazine regarding the client typology of Famosa and Hasbro Ibérica, it can be inferred that hypermarkets absorb around 40% of the turnover, followed by specialized centers and department stores. The remaining 30%-40% of the demand comes from other types of establishments.</w:t>
      </w:r>
    </w:p>
    <w:p>
      <w:r>
        <w:t>THIRD.- FACUA, in its complaint, establishes:</w:t>
      </w:r>
    </w:p>
    <w:p>
      <w:r>
        <w:t>1st that from the study conducted by it, it has been detected that the majority of toys have almost identical prices in the reported large commercial surfaces. The average fluctuation that consumers may find is only 2.9%. During Christmas 2007, the price differences detected averaged 4%.</w:t>
      </w:r>
    </w:p>
    <w:p>
      <w:r>
        <w:t>2nd that the study found that in 62% of the surveyed toys, the differences do not exceed 20% between the most expensive and the cheapest price. The maximum price fluctuation that consumers can find in these large surfaces exceeds 10% in only ten of the 118 toys studied.</w:t>
      </w:r>
    </w:p>
    <w:p>
      <w:r>
        <w:t>3rd Specifically, 73 of the toys vary in price between 0 and 20%; 20 toys have a maximum difference between 2.1% and 5%; 15 toys vary between 5% and 10%; 6 toys do so between 10.1% and 15%; 2 toys between 15.1% and 20%; and another 2 toys fluctuate their prices by more than 20%.</w:t>
      </w:r>
    </w:p>
    <w:p>
      <w:r>
        <w:t>FOURTH.- As an additional item to the above and based on the total documentation contained in the File, it can be concluded by stating:</w:t>
      </w:r>
    </w:p>
    <w:p>
      <w:r>
        <w:t>1st that the determination of the retail prices of the selected toys (to which we have previously referred) is made by the defendants themselves, without suppliers or manufacturers providing any guidance or recommendation regarding them (Pages 63, 114, 123, 294, 504, 685).</w:t>
      </w:r>
    </w:p>
    <w:p>
      <w:r>
        <w:t>2nd that the determination of the previous prices is carried out by all distributors at the national level (Pages 63, 114, 123, 294, 684) with the exception of one (CONF ALCAMPO), which indicates that this function is the responsibility of each establishment (Page 503). This distributor, however, indicates that certain campaigns such as the Christmas toy campaign are supported by a national brochure or catalog. Even so, each establishment has the authority to reduce the prices shown in the promotional brochures, in accordance with the business philosophy of achieving the lowest possible prices compared to those that the competition may offer in the area or location of each establishment and avoiding selling to the public below the acquisition cost (Page 503).</w:t>
      </w:r>
    </w:p>
    <w:p>
      <w:r>
        <w:t>3rd another distributor (CONF TOYS’R’Us) indicates that prices are identical at the national level, except for very few exceptions where, due to openings or other specific commercial reasons, very specific actions are established for a limited period of time (Page 294).</w:t>
      </w:r>
    </w:p>
    <w:p>
      <w:r>
        <w:t>4th the commercial policy regarding prices, applied by manufacturers to distributors during the Christmas campaign, is diverse. Thus, one manufacturer (CONF IMC TOYS) indicates that the prices at which it invoices arise from negotiation and agreement between parties during the first half of the year (Page 73). Others (CONF MATTEL, FAMOSA, and HASBRO) indicate that they do not have a specific pricing policy for Christmas, with some of them having a single price list that applies to all their clients without distinction (Pages 158 and 161). Applying other specific discounts (Pages 161 and 553). These manufacturing companies indicate that the prices they apply to their clients are not retail prices and that they do not interfere with the determination of the same by the distributors (Pages 159, 162, and 554).</w:t>
      </w:r>
    </w:p>
    <w:p>
      <w:r>
        <w:t>5th in the communications sent by the manufacturers, there is a case of CONF FAMOSA in relation to the distributor El Corte Inglés, referring to a minimum RRP, specifying that such price coincides with the rate + VAT (Pages 286, 289, 292), with the aim of providing the client with a clear reference of the cost that the purchase of each item entails (Page 848). In the communications maintained by this same manufacturer with another distributor (CONF EROSKI), a column called RRP Offer is included in a table (Pages 250-251). The manufacturer indicates that, although it is not responsible for setting the offer RRP, it fills in this column by copying the minimum legal RRP (Pages 847-848).</w:t>
      </w:r>
    </w:p>
    <w:p>
      <w:r>
        <w:t>6th the dates of the Christmas campaign 2008, provided by some distributing companies, are not always coincident (Pages 305, 502, 683, and 684). Furthermore, one distributor (CONF TOYS’R’Us), for certain toys, established up to three different periods within the same campaign, with different prices.</w:t>
      </w:r>
    </w:p>
    <w:p>
      <w:r>
        <w:t>LEGAL GROUNDS</w:t>
      </w:r>
    </w:p>
    <w:p>
      <w:r>
        <w:t>FIRST.- Law 15/2007 of July 3, on the Defense of Competition. In its Article 1, it "prohibits any agreement, decision, or collective recommendation or concerted or consciously parallel practice, which has the object or may produce the effect of preventing, restricting, or distorting competition in all or part of the national market and, in particular, those that consist of: a) the direct or indirect fixing of prices or other commercial or service conditions..."</w:t>
      </w:r>
    </w:p>
    <w:p>
      <w:r>
        <w:t>From the proven facts, previously established, it cannot be concluded that the behaviors that FACUA imputes to the defendants "violate competition rules" and especially that they fall within the prohibitions contemplated in Article 1.</w:t>
      </w:r>
    </w:p>
    <w:p>
      <w:r>
        <w:t>Thus, we can conclude with the Proposal submitted to us by the Investigation Directorate, stating:</w:t>
      </w:r>
    </w:p>
    <w:p>
      <w:r>
        <w:rPr>
          <w:b/>
        </w:rPr>
        <w:t>[Pages 7–8]</w:t>
      </w:r>
    </w:p>
    <w:p>
      <w:r>
        <w:t>1st The very nature or the competitive conditions in the toy market can explain per se the high price coincidence of the same, without the need to attribute it to an agreement among distributors. The toy sector in Spain is characterized by a high degree of concentration of demand during the Christmas campaign, a period in which 72% of total sales for the year occur. It is reasonable to attribute that it is during these dates that economic operators concentrate their efforts to attract the maximum number of customers.</w:t>
      </w:r>
    </w:p>
    <w:p>
      <w:r>
        <w:t>From the establishments that make up the Proven Facts, such a consequence is sufficiently accredited. Thus, the strategy of one distributor shows an upward trend in the period leading up to Christmas and increases during that campaign; while another distributor follows the opposite strategy during the Christmas campaign; and the rest of the distributors, however, establish uniform prices, both during the Christmas campaign and outside of it, which may or may not coincide.</w:t>
      </w:r>
    </w:p>
    <w:p>
      <w:r>
        <w:t>Furthermore, one distributor autonomously sets prices at the hypermarket level and the dates of its Christmas campaign do not coincide, presenting in some cases up to three differentiated periods with different prices.</w:t>
      </w:r>
    </w:p>
    <w:p>
      <w:r>
        <w:t>2nd It is true that those distributors who enjoy higher discounts from certain manufacturers could sell their products at a lower price, given that the price at origin is lower. However, it is also true that being in a transparent market such as that of toys, where distributors know both the list price and the retail price of their competitors, it becomes rational for the businessman to apply that price which maximizes their profit, without the coincidence with that of their competitors necessarily implying an indication of an agreement with them contrary to competition legislation.</w:t>
      </w:r>
    </w:p>
    <w:p>
      <w:r>
        <w:t>3rd From the above, it seems to follow that a good number of the retail prices of toys during the Christmas campaign correspond to their cost prices, taxes included. It seems difficult to agree that this convergence is the result of a horizontal agreement in a context of high concentration of demand during this specific time of year; different commercial strategies by various distributors; different pricing policies by manufacturers; and, above all, the high number of heterogeneous products, which hinder the possibility of adopting general agreements or coordinated commercial behavior strategies.</w:t>
      </w:r>
    </w:p>
    <w:p>
      <w:r>
        <w:t>Equally relevant is the geographical dispersion or the reality of differentiated markets that make a policy of alignments impossible, or the very seasonality of demand.</w:t>
      </w:r>
    </w:p>
    <w:p>
      <w:r>
        <w:t>SECOND.- Based on all the above, this Council of the National Competition Commission, accepting the proposal submitted by the Investigation Directorate, pursuant to Article 49.3 of Law 15/2007 of July 3, on the Defense of Competition, agrees not to initiate sanctioning proceedings and to archive the actions taken as a result of the complaint by FACUA (Consumers and Users in Action Association) against Alcampo, Carrefour, El Corte Inglés, Eroski, Hipercor, and Toys’R’Us, considering that there are no indications of infringement of Article 1 of the aforementioned Law.</w:t>
      </w:r>
    </w:p>
    <w:p>
      <w:r>
        <w:t>Having seen the cited provisions and others of general application, THE COUNCIL HAS RESOLVED</w:t>
      </w:r>
    </w:p>
    <w:p>
      <w:r>
        <w:t>SOLE.- Pursuant to Article 49.3 of Law 15/2007 of July 3, on the Defense of Competition, it agrees not to initiate sanctioning proceedings and, consequently, to archive the actions taken in the confidential inquiry, as a result of the complaint filed by FACUA (Consumers and Users in Action Association) against Alcampo, Carrefour, El Corte Inglés, Eroski, Hipercor, and Toys’R’Us, considering the absence of indications of infringement of Article 1 of the aforementioned Law.</w:t>
      </w:r>
    </w:p>
    <w:p>
      <w:r>
        <w:t>This Resolution shall be communicated to the Investigation Directorate and notified to the interested parties, informing them that there is no administrative appeal against it, although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