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https://www.cnmc.es/expedientes/s013109</w:t>
      </w:r>
    </w:p>
    <w:p>
      <w:r>
        <w:t>Pages translated : 4</w:t>
      </w:r>
    </w:p>
    <w:p/>
    <w:p>
      <w:r>
        <w:rPr>
          <w:b/>
        </w:rPr>
        <w:t>[Pages 1–3]</w:t>
      </w:r>
    </w:p>
    <w:p>
      <w:r>
        <w:t xml:space="preserve">NATIONAL COMPETITION COMMISSION  </w:t>
        <w:br/>
        <w:t xml:space="preserve">File S/0131/09 Amanti Technologies  </w:t>
        <w:br/>
        <w:t xml:space="preserve">Council:  </w:t>
        <w:br/>
        <w:t xml:space="preserve">Mr. Luis Berenguer Fuster, President  </w:t>
        <w:br/>
        <w:t xml:space="preserve">Mr. Fernando Torremocha y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María Jesús González López, Councilor  </w:t>
        <w:br/>
        <w:t xml:space="preserve">Ms. Inmaculada Gutiérrez Carrizo, Councilor  </w:t>
        <w:br/>
        <w:t>Madrid, May 4, 2009</w:t>
      </w:r>
    </w:p>
    <w:p>
      <w:r>
        <w:t>The Council of the National Competition Commission (the Council), with the composition stated and with the rapporteur being Councilor Ms. Inmaculada Gutiérrez Carrizo, has issued the following resolution in file S/0131/09 Amanti Technologies, processed by the Investigation Directorate (DI) of the National Competition Commission (CNC) as a result of the complaint filed by SOCIEDAD GENERAL DE IMPORTACIONES GALEA S.L. against AMANTI TECNOLOGÍAS S.L. for alleged restrictive competition practices, prohibited under article 2 of Law 15/2007 on the Defense of Competition (LDC), consisting of the refusal to supply spare parts to a competing company.</w:t>
      </w:r>
    </w:p>
    <w:p>
      <w:r>
        <w:t xml:space="preserve">FACTUAL BACKGROUND  </w:t>
        <w:br/>
        <w:t xml:space="preserve">1. On December 2, 2008, the Investigation Directorate submitted the following proposal for filing to the Council:  </w:t>
        <w:br/>
        <w:t xml:space="preserve">“I. FACTUAL BACKGROUND  </w:t>
        <w:br/>
        <w:t xml:space="preserve">1.- Complaint  </w:t>
        <w:br/>
        <w:t xml:space="preserve">On January 19, 2009, a document was received in this Investigation Directorate from Mr. Borja Fuentes Sodupe, on behalf of Sociedad General de Importaciones Galea S.L. (hereinafter, Galea), in which he files a complaint against Amanti Tecnologías S.L. (hereinafter, Amanti) for alleged restrictive competition practices, prohibited under article 2 of Law 15/2007 on the Defense of Competition (LDC), consisting of an unjustified refusal to meet purchase demands for products or services.  </w:t>
        <w:br/>
        <w:t>Specifically, it is indicated that the complainant requested from Amanti certain parts necessary to repair a Hytorc brand torque wrench, whose exclusive distributor in Spain is the aforementioned company, which communicated via e-mail (submitted along with the complaint) that it could not send the parts since Hytorc tools can only be repaired at the official Hytorc service center. Galea states that he reiterated this request and that, finally, faced with Amanti's refusal to sell him the parts, he had no other option but to ask his client to contact Amanti directly to purchase them so that they could later be delivered to him for repair, as ultimately occurred, according to the complainant.</w:t>
      </w:r>
    </w:p>
    <w:p>
      <w:r>
        <w:t xml:space="preserve">2.- Actions of the Investigation Directorate  </w:t>
        <w:br/>
        <w:t xml:space="preserve">1. After receiving the complaint, the Investigation Directorate decided to carry out a confidential inquiry in order to clarify the facts, as a preliminary step before initiating the corresponding file, if appropriate, requesting, on January 27, 2009, information regarding the market for tightening machinery and the role played by Galea and Amanti in this sector, as well as considering the Hytorc wrench as a market in itself.  </w:t>
        <w:br/>
        <w:t xml:space="preserve">2. After the deadline granted without receiving a response, this Investigation Directorate reiterated the request for information on February 24, 2009. On March 3, 2009, a response was received in which, in a very brief and incomplete manner and raising new questions about the market subject to the complaint, the previously posed questions were answered.  </w:t>
        <w:br/>
        <w:t xml:space="preserve">3. On March 6, 2009, the complainant was requested to rectify the observed defects in his document, warning him that if he did not do so within ten days, his request could be filed without further processing.  </w:t>
        <w:br/>
        <w:t>The aforementioned request has not been complied with, despite the indicated deadline having passed.</w:t>
      </w:r>
    </w:p>
    <w:p>
      <w:r>
        <w:t xml:space="preserve">II.- LEGAL GROUNDS  </w:t>
        <w:br/>
        <w:t xml:space="preserve">Royal Decree 261/2008 of February 22, which approves the Regulation on the Defense of Competition, states in its article 25.2 the minimum content of the complaint, establishing in its section 3 that if it does not meet the indicated requirements, the complainant will be required to rectify the deficiency or provide the required documentation within ten days, indicating that if he does not do so, he will be considered to have withdrawn the complaint, without prejudice to the Investigation Directorate being able to act ex officio.  </w:t>
        <w:br/>
        <w:t>The complainant submits an incomplete complaint and fails to respond to the request for rectification, so he is understood to have withdrawn from the complaint filed.</w:t>
      </w:r>
    </w:p>
    <w:p>
      <w:r>
        <w:t xml:space="preserve">III.- PROPOSAL  </w:t>
        <w:br/>
        <w:t>Therefore, in accordance with the provisions of article 49.3 of the LDC, it is proposed not to initiate the sanctioning procedure and to file the actions taken as a result of the complaint filed by Mr. Borja Fuentes Sodupe, on behalf of Sociedad General de Importaciones Galea S.L. due to the withdrawal of the complainant. For these purposes, the complaint and the actions taken by this Directorate are forwarded.”</w:t>
      </w:r>
    </w:p>
    <w:p>
      <w:r>
        <w:t>2. The Council deliberated and ruled on the matter in its meeting on April 28, 2009.</w:t>
      </w:r>
    </w:p>
    <w:p>
      <w:r>
        <w:t xml:space="preserve">LEGAL GROUNDS  </w:t>
        <w:br/>
        <w:t xml:space="preserve">FIRST.- As the Investigation Directorate points out, the complainant submits an incomplete complaint and fails to respond to the request for rectification, with the consequences that this entails in accordance with section 3 of article 25 of RD 261/2008.  </w:t>
        <w:br/>
        <w:t xml:space="preserve">Furthermore, the information provided does not reveal indications of a violation of article 2 of the LDC. The complainant and the respondent operate in the business of tightening equipment and within that, in torque equipment. According to the complainant, in this business there are no manufacturers on a national scale. On a global scale, there are several manufacturers, including Hytorc and Plarard. Amanti exclusively distributes the Hytorc brand in Spain, while Galea distributes the Plarard brand, in addition to those of other manufacturers outside the tightening sector. Therefore, the facts reported consist of the refusal by the distributor in Spain of Hytorc, whose dominant position has not been proven, to supply spare parts to a distributor that is not independent, but rather represents exclusively in Spain the interests of a competing brand and that also demands said parts with the intention of providing technical assistance to products of the competing brand.  </w:t>
        <w:br/>
        <w:t>Under these conditions, the Council understands that the general principle of free contracting between companies should prevail and that there are no indications of abuse in the refusal to supply that may have occurred.</w:t>
      </w:r>
    </w:p>
    <w:p>
      <w:r>
        <w:t xml:space="preserve">SECOND.- Number 3 of article 49 of the Law on the Defense of Competition provides that the Council, at the proposal of the Investigation Directorate of the National Competition Commission, may agree not to initiate sanctioning proceedings for the alleged commission of the conduct prohibited in articles 1, 2, and 3 of the Law and, consequently, to file the actions taken by the Investigation Directorate when it considers that there are no indications of a violation of Law 15/2007.  </w:t>
        <w:br/>
        <w:t xml:space="preserve">Therefore, in view of the proposal from the Investigation Directorate and not perceiving indications of a violation of Law 15/2007 in the reported facts, the Council has decided not to initiate the file and to file the actions in accordance with the provisions of article 49.3 of the aforementioned Law.  </w:t>
        <w:br/>
        <w:t>For all the above reasons, in light of the cited provisions and others of general application, the Council of the National Competition Commission,</w:t>
      </w:r>
    </w:p>
    <w:p>
      <w:r>
        <w:rPr>
          <w:b/>
        </w:rPr>
        <w:t>[Pages 4–4]</w:t>
      </w:r>
    </w:p>
    <w:p>
      <w:r>
        <w:t>NATIONAL COMPETITION COMMISSION</w:t>
      </w:r>
    </w:p>
    <w:p>
      <w:r>
        <w:t>RESOLVES</w:t>
      </w:r>
    </w:p>
    <w:p>
      <w:r>
        <w:t>SOLE.- Not to initiate sanctioning proceedings and to archive the actions taken by the Investigation Directorate as a result of the complaint filed by SOCIEDAD GENERAL DE IMPORTACIONES GALEA S.L. against AMANTI TECNOLOGIAS S.L. for alleged restrictive practices of competition prohibited in article 2 of Law 15/2007 on the Defense of Competition (LDC) on the grounds that the facts reported do not show indications of a violation of Law 15/2007, of July 3, on the Defense of Competition.</w:t>
      </w:r>
    </w:p>
    <w:p>
      <w:r>
        <w:t>This Resolution shall be communicated to the Investigation Directorate and notified to the complainant, informing them that it concludes the administrative process, and that they may file a contentious-administrative appeal before the National Court within two months from the date of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