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https://www.cnmc.es/expedientes/s014009</w:t>
      </w:r>
    </w:p>
    <w:p>
      <w:r>
        <w:t>Pages translated : 9</w:t>
      </w:r>
    </w:p>
    <w:p/>
    <w:p>
      <w:r>
        <w:rPr>
          <w:b/>
        </w:rPr>
        <w:t>[Pages 1–3]</w:t>
      </w:r>
    </w:p>
    <w:p>
      <w:r>
        <w:t xml:space="preserve">NATIONAL COURT  </w:t>
        <w:br/>
        <w:t xml:space="preserve">Contentious-Administrative Chamber  </w:t>
        <w:br/>
        <w:t xml:space="preserve">ADMINISTRATION  </w:t>
        <w:br/>
        <w:t xml:space="preserve">Madrid  </w:t>
        <w:br/>
        <w:t xml:space="preserve">P0565 OFFICE RETURNING FILE AND CERTIFICATION SENT  </w:t>
        <w:br/>
        <w:t xml:space="preserve">Unique Identification Number: 28079 23 3 2010 0008645  </w:t>
        <w:br/>
        <w:t xml:space="preserve">Procedure: ORDINARY PROCEDURE 0000725/2010 MD  </w:t>
        <w:br/>
        <w:t xml:space="preserve">Appellant: ASSOCIATION OF VALUE-ADDED COMPANIES A.V.A.  </w:t>
        <w:br/>
        <w:t xml:space="preserve">Ref.: Attached is a copy of the office for your location.  </w:t>
        <w:br/>
        <w:t xml:space="preserve">Having declared the judgment issued in the  </w:t>
        <w:br/>
        <w:t xml:space="preserve">contentious-administrative appeal noted in the margin to be final, I have the honor to send a testimony of the same in order for the agreed matters to be duly executed, for the appropriate resolutions to be adopted, and for whatever is required to comply with the declarations contained in the ruling, with the return of the administrative file, also requesting acknowledgment of receipt.  </w:t>
        <w:br/>
        <w:t xml:space="preserve">In MADRID, on the first of February, two thousand twelve.  </w:t>
        <w:br/>
        <w:t xml:space="preserve">THE COURT SECRETARY  </w:t>
        <w:br/>
        <w:t xml:space="preserve">Signed: VICTOR GALLARDO SANCHEZ  </w:t>
        <w:br/>
        <w:t xml:space="preserve">NATIONAL COMPETITION COMMISSION  </w:t>
        <w:br/>
        <w:t xml:space="preserve">ENTRY  </w:t>
        <w:br/>
        <w:t xml:space="preserve">Reg0f: 1070 / RG 1070  </w:t>
        <w:br/>
        <w:t xml:space="preserve">17/02/2012 12:14:46  </w:t>
        <w:br/>
        <w:t>NATIONAL COMPETITION COMMISSION.</w:t>
      </w:r>
    </w:p>
    <w:p>
      <w:r>
        <w:t xml:space="preserve">Re.Ts: jN°: 070725/2010  </w:t>
        <w:br/>
        <w:t xml:space="preserve">O  </w:t>
        <w:br/>
        <w:t xml:space="preserve">ADMINISTRATION  </w:t>
        <w:br/>
        <w:t xml:space="preserve">NATIONAL COURT  </w:t>
        <w:br/>
        <w:t xml:space="preserve">OF JUSTICE  </w:t>
        <w:br/>
        <w:t xml:space="preserve">Contentious-Administrative Chamber  </w:t>
        <w:br/>
        <w:t xml:space="preserve">SECTION SIX  </w:t>
        <w:br/>
        <w:t xml:space="preserve">Appeal No.: 0000725/2010  </w:t>
        <w:br/>
        <w:t xml:space="preserve">Type of Appeal: ORDINARY PROCEDURE  </w:t>
        <w:br/>
        <w:t xml:space="preserve">General Registry No.: 06409/2010  </w:t>
        <w:br/>
        <w:t xml:space="preserve">Plaintiff: ASSOCIATION OF VALUE-ADDED COMPANIES  </w:t>
        <w:br/>
        <w:t xml:space="preserve">Procurator: MR. GAMARRA MEJÍAS  </w:t>
        <w:br/>
        <w:t xml:space="preserve">Defendant: NATIONAL COMPETITION COMMISSION  </w:t>
        <w:br/>
        <w:t xml:space="preserve">Co-defendant: VODAFONE SPAIN  </w:t>
        <w:br/>
        <w:t xml:space="preserve">State Attorney  </w:t>
        <w:br/>
        <w:t xml:space="preserve">Reporting Judge: Ms. MERCEDES PEDRAZ CALVO  </w:t>
        <w:br/>
        <w:t xml:space="preserve">JUDGMENT NO.:  </w:t>
        <w:br/>
        <w:t xml:space="preserve">Hon. President:  </w:t>
        <w:br/>
        <w:t xml:space="preserve">Ms. MARIA ASUNCIÓN SALVO TAMBO  </w:t>
        <w:br/>
        <w:t xml:space="preserve">Hon. Judges:  </w:t>
        <w:br/>
        <w:t xml:space="preserve">Ms. MERCEDES PEDRAZ CALVO  </w:t>
        <w:br/>
        <w:t xml:space="preserve">Ms. LUCIA ACIN AGUADO  </w:t>
        <w:br/>
        <w:t xml:space="preserve">Madrid, on the twenty-seventh of October, two thousand eleven.  </w:t>
        <w:br/>
        <w:t>Having seen the contentious-administrative appeal no. 725/10 brought before the Contentious-Administrative Chamber of the National Court by the ASSOCIATION OF VALUE-ADDED COMPANIES represented by Procurator Mr. Gamarra Mejías against the State Administration, directed and represented by Mr. State Attorney, regarding the Resolution of the National Competition Commission dated June 30, 2010, relating to the filing of a complaint for prohibited conduct with an indeterminate amount, with VODAFONE SPAIN represented by Procurator Mr. Hidalgo Senen as co-defendant, and with Judge Ms. Mercedes Pedraz Calvo as the Reporting Judge.</w:t>
      </w:r>
    </w:p>
    <w:p>
      <w:r>
        <w:t xml:space="preserve">FACTUAL BACKGROUND  </w:t>
        <w:br/>
        <w:t xml:space="preserve">FIRST. The indicated legal representation filed a contentious-administrative appeal before this Chamber against the referenced Resolution by means of a document dated December 3, 2010. By Decree of the Secretary, it was agreed to accept the appeal, ordering the claim for the administrative file.  </w:t>
        <w:br/>
        <w:t xml:space="preserve">SECOND. At the appropriate procedural moment, the legal representation of the plaintiff formalized the complaint by means of a document dated December 1, 2010, in which, after alleging the facts and legal grounds that it deemed necessary, concluded by requesting that a judgment be issued in which the appeal is upheld, annulling the contested resolution and returning the proceedings to the moment when the CNC should transfer to Vodafone the complaint document presented as well as the documents that make up the complaint so that it can make the corresponding allegations in its capacity as accused "to continue with the legally established procedure."  </w:t>
        <w:br/>
        <w:t xml:space="preserve">THIRD. The State Attorney responded to the complaint to oppose it, and based on the factual and legal grounds that he considered appropriate, concluded by requesting the inadmissibility and, subsidiarily, the dismissal of the appeal.  </w:t>
        <w:br/>
        <w:t xml:space="preserve">The co-defendant also responded to the complaint to request its inadmissibility and, subsidiarily, its dismissal, based on the facts and legal reasoning that it has exposed.  </w:t>
        <w:br/>
        <w:t>FOURTH. The Chamber issued a Provision setting the date of October 25, 2011, for the voting and ruling on the appeal, having observed the legal requirements in its processing.</w:t>
      </w:r>
    </w:p>
    <w:p>
      <w:r>
        <w:t xml:space="preserve">LEGAL GROUNDS  </w:t>
        <w:br/>
        <w:t>FIRST. The object of challenge in this contentious-administrative appeal is the agreement issued by the National Competition Commission on June 30, 2010, whereby it was agreed "Not to initiate sanctioning proceedings and to archive the actions followed as a result of the complaint...."</w:t>
      </w:r>
    </w:p>
    <w:p>
      <w:r>
        <w:rPr>
          <w:b/>
        </w:rPr>
        <w:t>[Pages 4–6]</w:t>
      </w:r>
    </w:p>
    <w:p>
      <w:r>
        <w:t xml:space="preserve">Recurso No.: 0000725/2010  </w:t>
        <w:br/>
        <w:t xml:space="preserve">ADMINISTRATION  </w:t>
        <w:br/>
        <w:t xml:space="preserve">The facts underlying the present appeal are as follows:  </w:t>
        <w:br/>
        <w:t xml:space="preserve">OF JUSTICE  </w:t>
        <w:br/>
        <w:t xml:space="preserve">1. Vodafone is a mobile phone operator with its own network, which, according to the CMT's annual report, had mobile phone revenues in Spain of 4.988 billion euros in 2008, representing 33.1% of the market, compared to Movistar and Orange's shares of 48.9% and 16.6% respectively. In terms of mobile phone lines, Vodafone's share was 30.7%, compared to Movistar's 44.9% and Orange's 20.7%. Meanwhile, in the number of short messages sent by its subscribers, Vodafone's share was 30.0%, while Movistar had a share of 43.0% and Orange 25.3%.  </w:t>
        <w:br/>
        <w:t xml:space="preserve">2. According to the CMT's annual report, value-added short messages represented in 2008 in Spain revenues of approximately 516.5 million euros, while value-added multimedia messages reached revenues of approximately 1.4 million euros. In terms of the number of messages, there were 2.411 billion value-added short messages and 105 million value-added multimedia messages. Vodafone provides value-added short message and multimedia message services to its customers.  </w:t>
        <w:br/>
        <w:t xml:space="preserve">3. The additional charging services based on the sending of messages are regulated by Order ITC/308/2008, of January 31, which issues instructions for the use of public numbering resources for the provision of short text message and multimedia message services. Within this Order, Article 5.7 establishes that "the holders of numbers [for the provision of additional charging services via messages] shall have the obligation to allow access to their services to subscribers of public telephone service operators when these operators so request, under the conditions agreed upon by the parties."  </w:t>
        <w:br/>
        <w:t xml:space="preserve">4. The wholesale access services for short text messages and multimedia messages of additional charging are subject to ex ante regulation by the Telecommunications Market Commission (CMT). In particular, in its Resolution of February 2, 2006, which approves the definition and analysis of the market for access and origination of calls in public mobile telephone networks, the designation of operators with significant market power, and the imposition of specific obligations, and agrees to notify the European Commission, the CMT has regulated, among others, the wholesale interconnection services for data traffic origination over mobile networks provided by Telefónica, Vodafone, and Orange, which would allow other operators to provide their customers with conventional and advanced SMS and MMS services originating from the networks of mobile operators as well as mobile internet access services. This regulation establishes an obligation to provide these services at reasonable prices.  </w:t>
        <w:br/>
        <w:t xml:space="preserve">SECOND-. The complaint of the party now acting had the following content:  </w:t>
        <w:br/>
        <w:t xml:space="preserve">Vodafone imposes on operators of additional charging services via messages, in order to provide them with wholesale services that allow access to Vodafone's subscribers, a price that represents on average approximately 50% of the cost of the message. This price varies according to the cost of the additional charging messages paid by the end user (the higher the price for the end user, the lower the percentage that the mobile telephone operator retains) and the number of users utilizing the service (the greater the number of users, the lower the percentage that the mobile telephone operator retains). With these conditions, according to AVA, the promotions carried out by Vodafone are not replicable by the operators of additional charging services via messages that are members of AVA.  </w:t>
        <w:br/>
        <w:t xml:space="preserve">According to the complaint, Vodafone imposes on operators of additional charging services via messages, in order to provide them with wholesale services that allow access to its subscribers, that they accept a payment term of 90 days for the invoices they issue. It estimates that, of the total value-added services via messages provided by its partners, approximately 25% corresponds to participation in voting and television programs, 20% to mobile content downloads, 20% to participation in cash prize draws, 25% to participation in prize draws for goods, and 10% to others.  </w:t>
        <w:br/>
        <w:t xml:space="preserve">The claim exercised in these proceedings differs from what is stated in the complaint: the plaintiff states that during the processing of the procedure, the CNC requested from AVA certain documentation and information evidencing the aspects related to the complaint and the acts of unfair competition reported, and did not request any information from VODAFONE "a fact that is expressly denounced in our writ of claim." It considers that Articles 44 and following of Law 15/2007, and Article 13 of Royal Decree 1398/1993 have been violated by not having forwarded the complaint to VODAFONE for it to make the corresponding allegations.  </w:t>
        <w:br/>
        <w:t xml:space="preserve">THIRD-. The allegation of inadmissibility of the contentious-administrative appeal due to lack of active standing of the appellant under the provisions of Article 69 letter b) of the jurisdictional law must be examined first, as both the State Attorney and the co-defendant understand that despite its status as complainant, the plaintiff does not have a legitimate interest that supports the action for annulment against the CNC's agreement to archive the proceedings.  </w:t>
        <w:br/>
        <w:t xml:space="preserve">The aforementioned parties understand that the status of complainant or the character of interested party in the administrative procedure is not always sufficient to establish subsequent standing in a contentious-administrative appeal, which is true, and therefore it must be established, in this specific case, whether the plaintiff has or does not have that interest that justifies its standing.  </w:t>
        <w:br/>
        <w:t xml:space="preserve">The Constitutional Court has pointed out on numerous occasions that from Article 24 of the Constitution derives for Judges and Courts "... the obligation to interpret broadly the formulas that procedural laws use regarding the attribution of active standing to access judicial processes..." (STC 120/2001) and that in relation to active standing, the judicial bodies are compelled to interpret procedural norms not only reasonably and reasoned but in a broad and non-restrictive sense, that is, in accordance with the principle "pro actione" (STC 7/2001).  </w:t>
        <w:br/>
        <w:t xml:space="preserve">In the case under review, it is a matter of determining whether the complainants, who did not obtain satisfaction for their incrimination claims, have active standing to seek in an administrative-litigation process the investigation of a specific conduct within the framework of a sanctioning procedure.  </w:t>
        <w:br/>
        <w:t xml:space="preserve">The Supreme Court in the judgment of 5-XI-99 (appeal 9537/1995) has established the bases for the standing of the complainant in a situation similar to the present case:  </w:t>
        <w:br/>
        <w:t xml:space="preserve">"Starting from the premise that the answer to the question of the active standing of the appellant-complainant must be case-specific, so that it is not advisable to make either an affirmation or a denial indiscriminately for all cases, it must be understood that the existence of standing is linked to that of a legitimate interest of the party, to whose satisfaction the process serves, which from the outset places the analysis in the search and determination of that interest, whose allegation and proof when questioned, is a burden that falls on the party claiming it, estimating that the reference of such interest cannot be merely a specific act of a specific administrative procedure, since it only has, in its case, an instrumental relationship with the satisfaction of that interest, but rather it must have substantive entity and not merely formal, and that in principle it must be the same as that which underlies the administrative procedure and the contentious-administrative process of challenging the resolutions issued therein, ...  </w:t>
        <w:br/>
        <w:t xml:space="preserve">The key, therefore, for determining whether or not there exists a legitimate interest in the process of challenging a resolution issued in an open file by virtue of a complaint from a private individual for a hypothetical liability, must be situated in the fact of whether the imposition of a sanction can produce a positive effect in the legal sphere of the complainant or can eliminate a burden or encumbrance, in that sphere, and it will be so, in each case, and depending on what is sought, as the appropriate response may be given."  </w:t>
        <w:br/>
        <w:t>That is to say: as it also results from the judgment of the Supreme Court of December 17, 2001, the response to the problem of standing must be case-specific. The High Court has reasoned that "it is not necessary to specify now what the evolution has been in the contentious-administrative process regarding the concept and the defining characteristics or notes of the 'legitimating title', proceeding, as more significant phases, from the ownership of a right to that of an interest, and from direct interest to legitimate interest; nor is it necessary to specify the lines that guide the phenomenon, certain without a doubt, of the progressive expansion of standing to appeal in that process. It is enough to recall that this Supreme Court has defined legitimate interest (thus, among others, in its judgment of July 1, 1985) as that which those persons have who, by reason of the objective situation in which they find themselves, by a circumstance of a personal nature, or by being the recipients of a sectoral regulation, hold a personal interest, distinct from that of any citizen, that the public authorities act in accordance with the legal system when, in pursuit of general interest objectives, they affect the scope of such personal interest, even when the...</w:t>
      </w:r>
    </w:p>
    <w:p>
      <w:r>
        <w:rPr>
          <w:b/>
        </w:rPr>
        <w:t>[Pages 7–9]</w:t>
      </w:r>
    </w:p>
    <w:p>
      <w:r>
        <w:t xml:space="preserve">Appeal No.: 0000725/2010  </w:t>
        <w:br/>
        <w:t xml:space="preserve">ADMINISTRATION  </w:t>
        <w:br/>
        <w:t xml:space="preserve">the action in question does not specifically cause them a benefit or an immediate service; or that in the judgment of July 14, 1988, by accepting one of the grounds of the appealed decision, it recognized that for an interest to exist, it is sufficient that the success of the action represents for the appellant a material or legal benefit or, conversely, that the maintenance of the situation created or that could be created by the contested act causes them harm, even if such benefit or harm occurs indirectly or reflectively. It is also appropriate to recall that our jurisprudence, although it does not recognize standing based on mere interest in legality, or on extrajudicial motives that may satisfy appetites, desires, or personal tastes, distant from the genuinely legitimizing interest subject to legal protection (S. 12.4.1991), has recognized as included in the concept of legitimizing interest benefits such as moral, neighborhood, competitive, or professional interests; and, likewise, in addition to personal or individual interests, collective and diffuse interests. And finally, to recall that in relation to the latter, the modality of individual exercise is accepted as possible and not only collective, justified by the fact that the citizen exercising the defense of a diffuse interest is sometimes defending their own affected vital circle, as that interest projects onto their personal sphere.  </w:t>
        <w:br/>
        <w:t xml:space="preserve">This brief reminder of ideas regarding the evolution of the legitimizing title, to which the well-known principle of restrictive interpretation of the causes that prevent the examination of the merits of the claim can be added, leads to rejecting that the plaintiffs lack the required procedural standing, since their personal sphere is affected, at least indirectly or reflectively, through actions that they consider limiting free competition in the area in which they carry out their professional activity, or violating the effectiveness of a right, that of information, for whose protection they are particularly called due to the profession chosen.  </w:t>
        <w:br/>
        <w:t xml:space="preserve">In the complaint, the plaintiff stated that their active standing is based on the fact that they consider themselves "harmed by the resolution being appealed, to the extent that it decrees the filing of a complaint filed by them."  </w:t>
        <w:br/>
        <w:t xml:space="preserve">The plaintiff does not include any argument in their complaint regarding what their standing is, but the Chamber must take into account the fact that the inadmissibility allegation made in the responses to the complaint could not be answered by the plaintiff, given that the process concluded without any conclusion documents being submitted. This Chamber understands that in the most exact respect for the constitutional principle of defense, the Tribunal itself can draw its conclusions regarding the possible existence of a legitimate interest of the plaintiff; in this case, the Chamber considers that such interest exists since the plaintiff's business activity would be affected if the action they deem illegitimate and contrary to free competition in the area in which that activity is carried out were proven.  </w:t>
        <w:br/>
        <w:t>A different issue is the scope of such standing, which in no case extends to the imposition of a sanction, a claim that is certainly not exercised, given the literal tenor of the request in the complaint.</w:t>
      </w:r>
    </w:p>
    <w:p>
      <w:r>
        <w:t xml:space="preserve">Appeal No.: 0000725/2010  </w:t>
        <w:br/>
        <w:t xml:space="preserve">=41/  </w:t>
        <w:br/>
        <w:t xml:space="preserve">ADMINISTRATION  </w:t>
        <w:br/>
        <w:t xml:space="preserve">The Chamber therefore considers the contentious-administrative appeal admissible, recognizing standing to the plaintiff to request, as a complaint, the continuation of the archived administrative procedure.  </w:t>
        <w:br/>
        <w:t xml:space="preserve">FOURTH-. The plaintiff alleges that the complaint was not communicated to VODAFONE and that they were not required to provide documentation in the administrative procedure.  </w:t>
        <w:br/>
        <w:t xml:space="preserve">First, it should be recalled that Royal Decree 1398/1993, which regulates the Procedure Regulation for the exercise of sanctioning power, is subsidiarily applicable against the Regulation that governs the procedure in matters of Competition Defense, established by Royal Decree 261/2008, which was in force on February 23, 2008, the date of the complaint filed by AVA before the National Competition Commission (folio 1 of the file).  </w:t>
        <w:br/>
        <w:t xml:space="preserve">Paragraph 5 of Article 25 of said Royal Decree establishes:  </w:t>
        <w:br/>
        <w:t xml:space="preserve">"5. The formulation in the form of a complaint does not bind the Directorate of Investigation to initiate the sanctioning procedure. The decision not to initiate the procedure by the Council of the National Competition Commission, at the proposal of the Directorate of Investigation, must be communicated to the complainant, indicating the reasons why the initiation of the procedure does not proceed in accordance with the provisions of Article 49 of Law 15/2007, of July 3."  </w:t>
        <w:br/>
        <w:t xml:space="preserve">The CNC has issued a resolution in which it explains the reasons why the initiation of the sanctioning procedure does not proceed:  </w:t>
        <w:br/>
        <w:t xml:space="preserve">1-. The high market share of Vodafone is not sufficient to establish by itself an individual dominant position.  </w:t>
        <w:br/>
        <w:t xml:space="preserve">2-. Even if it had one, there are no indications that it has engaged in abusive practices.  </w:t>
        <w:br/>
        <w:t xml:space="preserve">3-. In relation to Article 2 of Law 15/2007, the practice reported does not seem to have sufficient substance nor is it likely to have sufficient anti-competitive effects to be considered abusive.  </w:t>
        <w:br/>
        <w:t xml:space="preserve">4-. In relation to Article 3 of Law 15/2007, the reported practice does not seem to have sufficient relevance to affect the public interest. In any case, the National Competition Commission is not competent to determine whether the reported practice constitutes a violation of Article 4.2 of Law 3/2004.  </w:t>
        <w:br/>
        <w:t xml:space="preserve">From the above, it follows the dismissal of the present appeal and the confirmation of the contested administrative act.  </w:t>
        <w:br/>
        <w:t xml:space="preserve">FIFTH-. No merits are appreciated that determine a special pronouncement on costs, according to the criteria contained in Article 139.1 of the Regulatory Law of Contentious Administrative Jurisdiction.  </w:t>
        <w:br/>
        <w:t>HAVING SEEN the cited provisions and others of general and pertinent application, by the power granted to us by the Constitution,</w:t>
      </w:r>
    </w:p>
    <w:p>
      <w:r>
        <w:t xml:space="preserve">Appeal No.: 0000725/2010  </w:t>
        <w:br/>
        <w:t xml:space="preserve">ADMINISTRATION  </w:t>
        <w:br/>
        <w:t xml:space="preserve">JUSTICE  </w:t>
        <w:br/>
        <w:t xml:space="preserve">WE DECREE  </w:t>
        <w:br/>
        <w:t xml:space="preserve">That we must ADMIT AND DISMISS as we DISMISS the contentious-administrative appeal filed by the legal representation of the ASSOCIATION OF VALUE-ADDED COMPANIES against the Agreement issued on June 30, 2010, by the National Competition Commission described in the first legal basis of this judgment, which we confirm as being in accordance with the law. Without imposing costs.  </w:t>
        <w:br/>
        <w:t xml:space="preserve">Notify the parties of this judgment, complying with the provisions of Article 248 paragraph 4 of the Organic Law of the Judiciary.  </w:t>
        <w:br/>
        <w:t>Thus, by this our Judgment, a testimony of which will be sent in due course to the office of origin, for legal purposes, along with the file - if applicable - we pronounce, order, and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