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https://www.cnmc.es/expedientes/s014409</w:t>
      </w:r>
    </w:p>
    <w:p>
      <w:r>
        <w:t>Pages translated : 5</w:t>
      </w:r>
    </w:p>
    <w:p/>
    <w:p>
      <w:r>
        <w:rPr>
          <w:b/>
        </w:rPr>
        <w:t>[Pages 1–3]</w:t>
      </w:r>
    </w:p>
    <w:p>
      <w:r>
        <w:t xml:space="preserve">RESOLUTION  </w:t>
        <w:br/>
        <w:t xml:space="preserve">File S/0144/09 FERTIBERIA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December 15, 2009  </w:t>
        <w:br/>
        <w:t xml:space="preserve">The Council of the National Competition Commission (CNC), with the composition stated above and with Mr. Julio Costas Comesaña serving as Rapporteur, has issued the following Resolution in the reserved information file S/0144/09 FERTIBERIA, opened by the Directorate of Investigation (DI) pursuant to the complaint filed by "Union of Small Farmers and Ranchers (UPA)" against "FERTIBERIA, S.A." for actions consisting of the direct or indirect imposition of excessive prices, in particular, in the marketing of its nitrogenous fertilizers in the year 2008, prohibited by Article 2 of Law 15/2007, of July 3, on the Defense of Competition (LDC).  </w:t>
        <w:br/>
        <w:t xml:space="preserve">BACKGROUND  </w:t>
        <w:br/>
        <w:t>1. On November 13, 2008, a letter was received by the CNC from the Union of Small Farmers and Ranchers (UPA), requesting that it investigate the reasons why the decline that had been recorded in the last months of 2008 in oil and raw materials (cereals and oilseeds) was not similarly reflected in the prices of agricultural production means (fertilizers, agricultural diesel, and animal feed) (folios 1 to 40). This complaint was registered under number DP/036/08.</w:t>
      </w:r>
    </w:p>
    <w:p>
      <w:r>
        <w:t xml:space="preserve">With the complaint, the UPA provided a letter from the Minister of Agriculture and Fisheries of the Junta de Andalucía, expressing concern about the situation the agricultural sector was experiencing due to the fact that the drop in oil prices did not result in a decrease in the cost of agricultural production means, such as fertilizers, and that the decrease in the price of cereals and oilseeds in world markets did not similarly result in a decrease in animal feed prices, requesting that the CNC investigate the reasons preventing the reduction in input prices from being reflected in the final products (folios 41 and 42).  </w:t>
        <w:br/>
        <w:t xml:space="preserve">2. In view of the information received, and considering that the complaint included facts of a different nature that could constitute different infringements of the LDC, that the companies complained against were distinct, and that the facts affected different sectors, the DI decided, on April 16, 2009, to separate the initial file so that the actions related to a possible abuse of dominant position in the fertilizer sector by FERTIBERIA were registered from that moment under number S/0144/07 (folios 157 to 161).  </w:t>
        <w:br/>
        <w:t xml:space="preserve">3. As preliminary proceedings prior to the initiation of the corresponding file, the DI requested various information from UPA and FERTIBERIA, which both provided to the file. In view of all that was done in this Reserved Information, and in accordance with the provisions of Article 49.3 of the LDC, on July 24, 2009, the DI submitted to the Council of the CNC a proposal for the non-initiation of sanctioning proceedings, as well as the filing of the actions, considering that there are no indications of infringement of the Law.  </w:t>
        <w:br/>
        <w:t xml:space="preserve">4. The Council of the National Competition Commission deliberated and ruled on this file in its meeting of December 9, 2009.  </w:t>
        <w:br/>
        <w:t xml:space="preserve">LEGAL GROUNDS  </w:t>
        <w:br/>
        <w:t xml:space="preserve">First.- As provided in Article 49 of the LDC, the Council of the CNC must decide whether, in view of all that has been done by the DI in this reserved information file, it is indeed legally appropriate to file the actions for lack of rational indications of the existence of prohibited conduct that would motivate the initiation of a sanctioning file against FERTIBERIA, in particular, for engaging in direct or indirect excessive price fixing in the marketing of its nitrogenous fertilizers in the year 2008, prohibited by Article 2 of the LDC.  </w:t>
        <w:br/>
        <w:t xml:space="preserve">This Article 2 of the LDC prohibits "the abusive exploitation by one or more companies of their dominant position in all or part of the national market." The commission of a conduct of abuse of dominant position has, therefore, as a first prerequisite the holding by FERTIBERIA of a dominant position in the relevant product and geographic market.  </w:t>
        <w:br/>
        <w:t xml:space="preserve">Second.- In its Proposal for Filing, the DI considers that FERTIBERIA operates in the market of manufacturing and initial marketing of fertilizers or manures, and within this market, it is primarily engaged in the marketing of nitrogenous and complex fertilizers, and to a lesser extent, it also markets phosphate and potash fertilizers.  </w:t>
        <w:br/>
        <w:t xml:space="preserve">Furthermore, in accordance with community precedents (Case COMP/M.4730 YARA/KEMIRA GROWHOW) and national precedents (File C/0067/08 FERTIBERIA/ADP) in the field of merger control, the DI considers that there are two distinct product markets within fertilizers, based on the number of primary nutrients – nitrogen, phosphorus, or potassium – they contain: simple fertilizers and compound or complex fertilizers. Additionally, each of the simple fertilizers constitutes separate markets based on the nutrient element it contains: nitrogenous, phosphatic, and potassic.  </w:t>
        <w:br/>
        <w:t xml:space="preserve">Regarding the geographic scope of nitrogenous fertilizers, the sector in which the complaint is framed, the DI indicates that both the European Commission (Case COMP/M.4730 YARA/KEMIRA GROWHOW) and this Council of the CNC (File C/0067/08 FERTIBERIA/ADP) have considered the markets for the manufacture and initial marketing of fertilizers as, at least, of European scope due to the high degree of international exchanges, leaving the exact definition open given the significant volume of imports to the EEA.  </w:t>
        <w:br/>
        <w:t xml:space="preserve">Taking the above into account, and without prejudice to the market being at least of European scope, the DI analyzed FERTIBERIA's position in the relevant markets defined in Spain in 2008. Thus, regarding the shares in Spain in nitrogenous fertilizers in 2008, FERTIBERIA had a share of [40-50]%, compared to four other international competitors (UBE CHEMICAL, YARA, COMPO, and CUF ADUBOS) with shares of [0-10]% each, other national producers [0-10]%, and [20-30]% of imports (folios 187 and 188). However, it considers that this significant market share of FERTIBERIA in Spain is diluted in the European scope (which is the relevant geographic market according to the aforementioned precedents), as it stands at [0-10]%, with one competitor (YARA) having a significantly higher share of [20-30]% and five competitors (PULAWY, BASF/COMPO, CUFF ADUBOS, DSM AGRO, and ACHEMA) also with shares between [0-10]%. The remaining [30-40]% corresponds to other producers in the EEA, and [10-20]% corresponds to extra-community imports (folio 187).  </w:t>
        <w:br/>
        <w:t>Market shares provide a snapshot of the market that, while significant, may not be sufficient to affirm or dismiss a dominant position outright. Therefore, the DI analyzed other more dynamic factors of the affected market in order to elucidate the possible market power of the complainant in the marketing of nitrogenous fertilizers. Thus, first, the DI indicates that fertilizers are "commodities" and, therefore, are not subject to marked brand differentiation, existing international price reference indices for these products that are published weekly in specialized magazines (folios 188 and 195). Secondly, and in line with the</w:t>
      </w:r>
    </w:p>
    <w:p>
      <w:r>
        <w:rPr>
          <w:b/>
        </w:rPr>
        <w:t>[Pages 4–5]</w:t>
      </w:r>
    </w:p>
    <w:p>
      <w:r>
        <w:t>precedents in merger control, there seems to be broad international competition and transportation costs do not appear to constitute an obstacle for international transactions. The DI also does not find that fertilizer producers experience significant obstacles in accessing distribution channels, nor that they are subject to any regulatory hindrance to market their product (folio 186). There are different ways and alternatives for the international supply of the raw materials necessary for the manufacture of fertilizers, and logistical or investment barriers in production assets are overcome through importation via wholesalers, who are not tied to the producers by exclusivity agreements (folio 191).</w:t>
      </w:r>
    </w:p>
    <w:p>
      <w:r>
        <w:t>On the other hand, the demand for fertilizers can track price developments through the international indices published weekly in specialized magazines, and can source from both international traders and national or foreign producers, as the supply consists of producers who usually belong to large diversified chemical groups on a global or European scale with production and marketing assets in various countries, and importers. Among these are large-scale fertilizer wholesalers, also referred to as international traders.</w:t>
      </w:r>
    </w:p>
    <w:p>
      <w:r>
        <w:t>Third.- The Council agrees with the DI that from the preceding analysis, conducted taking into account the information available in the file and the existing precedents in merger control, it can be concluded that FERTIBERIA does not hold a dominant position in the defined manufacturing and initial marketing markets, since in the relevant geographical area there exists among nitrogenous fertilizer suppliers a market situation suitable to limit the possible independence of behavior that the high market share in Spain could attribute to FERTIBERIA.</w:t>
      </w:r>
    </w:p>
    <w:p>
      <w:r>
        <w:t>Thus, the existence of a dominant position by FERTIBERIA in the market for the manufacture and initial marketing of nitrogenous fertilizers is ruled out, and the Council considers that it is not appropriate to assess the other requirements for the application of the prohibition of Article 2 of the LDC, since whatever the outcome of that analysis of the behaviors of FERTIBERIA subject to the complaint, it could not lead to its classification as an infringement of the prohibition of abusive exploitation of a dominant position that the accused does not hold in the defined relevant market.</w:t>
      </w:r>
    </w:p>
    <w:p>
      <w:r>
        <w:t>For all the above reasons, in light of the cited legal provisions and those of general application, the Council of the National Competition Commission HAS RESOLVED</w:t>
      </w:r>
    </w:p>
    <w:p>
      <w:r>
        <w:t>SOLE.- Not to initiate sanctioning proceedings and to file the actions taken as a result of the complaint filed by "Unión de Pequeños Agricultores y Ganaderos (UPA)" against FERTIBERIA, S.A., considering that there are no indications of infringement of Article 2 of Law 15/2007, of July 3, on the Defense of Competition.</w:t>
      </w:r>
    </w:p>
    <w:p>
      <w:r>
        <w:t>This Resolution shall be communicated to the Directorate of Investigation, and notified to the complainant and the accused, informing them that it concludes the administrative process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