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https://www.cnmc.es/expedientes/s015209</w:t>
      </w:r>
    </w:p>
    <w:p>
      <w:r>
        <w:t>Pages translated : 8</w:t>
      </w:r>
    </w:p>
    <w:p/>
    <w:p>
      <w:r>
        <w:rPr>
          <w:b/>
        </w:rPr>
        <w:t>[Pages 1–3]</w:t>
      </w:r>
    </w:p>
    <w:p>
      <w:r>
        <w:t xml:space="preserve">RESOLUTION  </w:t>
        <w:br/>
        <w:t xml:space="preserve">Expte. S/0152/09 CEGEDIM/DENDRITE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July 13, 2010  </w:t>
        <w:br/>
        <w:t>The Council of the National Competition Commission (the Council), with the composition stated and with the Rapporteur being Councilor Ms. Inmaculada Gutiérrez Carrizo, has issued the following Resolution in the case S/0152/09 CEGEDIM/DENDRITE, which arises from the complaint filed by the company FORMULAS DE MARKETING, S.L. against CEGEDIM HISPANIA, S.A. and DENDRITE SPAIN, S.A. for alleged conduct prohibited by Law 15/2007, of July 3, on the Defense of Competition, consisting of an alleged abuse of dominant position.</w:t>
      </w:r>
    </w:p>
    <w:p>
      <w:r>
        <w:t xml:space="preserve">FACTUAL BACKGROUND  </w:t>
        <w:br/>
        <w:t xml:space="preserve">1. On January 26, 2009, in compliance with the provisions of Article 2.1 of Law 1/2002, of February 21, on the Coordination of the Competences of the State and the Autonomous Communities in matters of Defense of Competition, a letter from the General Directorate of Defense of Competition of the Government of Catalonia (DGDC) was received in this Investigation Directorate (DI) notifying the complaint filed by the company FORMULAS DE MARKETING, S.L. (hereinafter, FM) against CEGEDIM HISPANIA, S.A. (hereinafter, CEGEDIM) and DENDRITE SPAIN, S.A. (hereinafter, DENDRITE) for alleged conduct prohibited by Law 15/2007, of July 3, on the Defense of Competition (hereinafter, LDC). In particular, FM accuses CEGEDIM of the alleged commission of an abuse of dominant position by refusing to close a new contract that would allow it to use the OneKey database of medical prescribers in order to carry out marketing campaigns.  </w:t>
        <w:br/>
        <w:t xml:space="preserve">2. In order to clarify whether a supra-autonomous area was affected by the reported facts, the DI agreed to open a reserved information period on February 9, 2009, during which it requested information from the parties.  </w:t>
        <w:br/>
        <w:t>3. In light of these responses, on April 22, 2009, the DI declared itself competent to know the matter and requested the Catalan Competition Authority to send the original file, which was received by the CNC on May 7, 2009.</w:t>
      </w:r>
    </w:p>
    <w:p>
      <w:r>
        <w:t xml:space="preserve">4. Subsequently, this Investigation Directorate sent another request for information to the complainant and the respondents, dated November 3, 2009, whose responses were received by the CNC on November 20, 2009, and November 11, 2009, respectively.  </w:t>
        <w:br/>
        <w:t xml:space="preserve">5. The Investigation Directorate provides the following information about the complainant and respondents:  </w:t>
        <w:br/>
        <w:t xml:space="preserve">FORMULAS DE MARKETING, S.L. (FM) provides direct marketing services, covering from the conception of the campaign to its execution. According to this company, its activity is mainly focused on clients in the pharmaceutical industry, which accounts for 95% of its turnover. Its activity primarily concerns the Autonomous Community of Catalonia, although it also provides services to clients from outside.  </w:t>
        <w:br/>
        <w:t xml:space="preserve">CEGEDIM HISPANIA, S.A. (hereinafter, CEGEDIM), a subsidiary of the French CEGEDIM S.A, is a technology and global services company specialized in the field of healthcare. Its main clientele consists of pharmaceutical laboratories and it occasionally works with advertising agencies. In particular, CEGEDIM is involved in the following activities:  </w:t>
        <w:br/>
        <w:t xml:space="preserve">− the marketing of its database of medical and pharmaceutical prescribers (database known as OneKey),  </w:t>
        <w:br/>
        <w:t xml:space="preserve">− the provision of marketing services in the health field, and  </w:t>
        <w:br/>
        <w:t xml:space="preserve">− the sale of customer relationship management solutions (CRM solutions), also in the health field. More specifically, these are software applications that allow for the storage, processing, and automated sending of information collected by medical representatives of pharmaceutical laboratories, in order to improve the effectiveness of the commercial effort.  </w:t>
        <w:br/>
        <w:t xml:space="preserve">DENDRITE SPAIN, S.A. is involved in the same activities as CEGEDIM. DENDRITE is the Spanish subsidiary of DENDRITE INTERNATIONAL INC.  </w:t>
        <w:br/>
        <w:t xml:space="preserve">In May 2007, CEGEDIM S.A. acquired the American DENDRITE INTERNATIONAL INC., so CEGEDIM and DENDRITE became part of the same business group. As a result of the formation of CEGEDIM DENDRITE, in November 2009, DENDRITE was extinguished and integrated into CEGEDIM.  </w:t>
        <w:br/>
        <w:t xml:space="preserve">From 2008 onwards, CEGEDIM and DENDRITE began to work with a single database of medical and pharmaceutical prescribers, called OneKey, resulting from the merger of the databases of CEGEDIM (OneKey) and DENDRITE (Pharbase). As noted by the DI, with the acquisition of DENDRITE, CEGEDIM gained the sales force that DENDRITE had in Catalonia, which led CEGEDIM to reorganize its commercial presence in Catalonia, which prior to the acquisition of DENDRITE was primarily channeled through FM.  </w:t>
        <w:br/>
        <w:t xml:space="preserve">As a result of the formation of CEGEDIM DENDRITE, in November 2009, DENDRITE was extinguished and integrated into CEGEDIM, so it will be understood that the complaint is directed exclusively against CEGEDIM.  </w:t>
        <w:br/>
        <w:t>6. Based on the information obtained in the reserved information conducted by the DI, the following description of the activities of the parties can be made.</w:t>
      </w:r>
    </w:p>
    <w:p>
      <w:r>
        <w:t xml:space="preserve">Within marketing actions, it is important to distinguish the so-called direct marketing (to which the complainant is exclusively dedicated), an activity that involves targeting a specific audience (in this case, prescribers, doctors, or pharmacists), either by mail or by phone, to promote the product in question (in this case, the pharmaceuticals of a laboratory). This promotional action can be further divided into the following two activities:  </w:t>
        <w:br/>
        <w:t xml:space="preserve">− the design of the direct marketing campaign (creativity, determination of the target audience, etc.), and  </w:t>
        <w:br/>
        <w:t xml:space="preserve">− the execution of the campaign, either through mailing or telephone calls (telemarketing) to the target audience.  </w:t>
        <w:br/>
        <w:t xml:space="preserve">For the execution of the second activity, it is necessary to have a database of prescribers, in order to target the audience of the campaign (for example, doctors of a certain specialty in a specific geographical area). If not owning a database, a marketing agency or laboratory wishing to carry out a campaign can access a database such as that of CEGEDIM, which markets it for third parties to carry out their marketing actions.  </w:t>
        <w:br/>
        <w:t xml:space="preserve">According to CEGEDIM, the marketing of the database does not involve the physical delivery of it, which would constitute a transfer and require the consent of the prescribers in accordance with the LOPD, but rather the agency or laboratory, for each marketing action, contracts with CEGEDIM to execute the campaign. However, CEGEDIM does not have its own production center for handling and sending, so it subcontracts this activity to third parties, with whom it signs a data processing agreement (Article 12 of Organic Law 15/1999, of December 13, on the Protection of Personal Data), so that they can handle the database owned by CEGEDIM without needing, each time, the prior consent of the prescribers included in it.  </w:t>
        <w:br/>
        <w:t xml:space="preserve">Both parties in the case are present in the direct marketing segment, although not in the same way in the activities that comprise it. CEGEDIM, which has a database, offers its services in all activities of the direct marketing value chain, although it subcontracts the execution of the campaigns to various companies, being this company at all times who negotiates with potential clients and assumes the risk.  </w:t>
        <w:br/>
        <w:t xml:space="preserve">FM, while the contract dated September 29, 2004 was in force, was able to execute its direct marketing campaigns itself, having obtained from CEGEDIM the aforementioned condition of data processor. However, due to the failure of negotiations to close a new contract with CEGEDIM, FM ceased to have that condition and can only directly carry out the design, so it must contract with CEGEDIM to proceed with the execution of a campaign.  </w:t>
        <w:br/>
        <w:t xml:space="preserve">7. According to the complainant, the product markets that would be affected by the reported conduct would be two:  </w:t>
        <w:br/>
        <w:t xml:space="preserve">- on one hand, the marketing of databases of healthcare professionals, and  </w:t>
        <w:br/>
        <w:t>- on the other hand, the provision of marketing services to the pharmaceutical industry.</w:t>
      </w:r>
    </w:p>
    <w:p>
      <w:r>
        <w:rPr>
          <w:b/>
        </w:rPr>
        <w:t>[Pages 4–6]</w:t>
      </w:r>
    </w:p>
    <w:p>
      <w:r>
        <w:t>manipulate its own campaigns.</w:t>
      </w:r>
    </w:p>
    <w:p>
      <w:r>
        <w:t>10. The DI concludes that the alleged abuse would consist of a refusal to supply the database by CEGEDIM to FM, in order to provide direct marketing services (mailing and telemarketing). CEGEDIM would thus be abusing a hypothetical dominant position in the market for the creation and commercialization of databases of medical prescribers to extend this dominant position to the direct marketing market for pharmaceutical companies.</w:t>
      </w:r>
    </w:p>
    <w:p>
      <w:r>
        <w:t>The DI acknowledges that the OneKey database is the reference in the sector and of the highest quality. However, the DI considers that despite the information gathered, there is no conclusive data in the file that allows attributing to CEGEDIM the status of a dominant operator in the commercialization of databases of healthcare professionals. There are alternatives to the database produced by CEGEDIM, although, according to the complainant, they present some characteristics that limit their substitutability (they are less comprehensive or do not allow segmenting the data based on market criteria with the same ease). Among others, the DI has identified the following:</w:t>
      </w:r>
    </w:p>
    <w:p>
      <w:r>
        <w:t>- Saludalia (Saludbase database), Infonis (Pharmatarget database), and Doctoralia have medical databases.</w:t>
        <w:br/>
        <w:t>- PUNTEX, which produces databases related to hospital directors, dentists, and pharmacists.</w:t>
        <w:br/>
        <w:t>- The lists of doctors included in the directories of private insurers.</w:t>
        <w:br/>
        <w:t>- The panel of the company Harris Interactive focused on medical professionals.</w:t>
        <w:br/>
        <w:t>- The pharmaceutical laboratories themselves maintain their own databases, as noted by the respondent.</w:t>
      </w:r>
    </w:p>
    <w:p>
      <w:r>
        <w:t>The DI considers that it cannot appreciate the existence of an 'absolute' refusal to supply, since, as has been established, CEGEDIM and DENDRITE do not refuse to establish relationships with FM, but rather there is simply no agreement on the terms of the contract. Therefore, if there is a refusal to supply in this case, it would have to consist of a 'constructive' refusal, that is, the conditions offered by CEGEDIM to FM (which CEGEDIM did not want to modify in light of the changes proposed by FM) would have to be deemed 'unreasonable', which would motivate FM's refusal to accept them.</w:t>
      </w:r>
    </w:p>
    <w:p>
      <w:r>
        <w:t>CEGEDIM offers an agreement whereby FM would act as a distributor of the database, in which the prices of the database for FM would be the same as for CEGEDIM and DENDRITE, and under which FM would be the only marketing agency that would have signed a treatment contract on behalf of third parties so that FM could manipulate its own campaigns.</w:t>
      </w:r>
    </w:p>
    <w:p>
      <w:r>
        <w:rPr>
          <w:b/>
        </w:rPr>
        <w:t>[Pages 7–8]</w:t>
      </w:r>
    </w:p>
    <w:p>
      <w:r>
        <w:t>acting as the distributor of the database, in which the prices of the database for FM would be the same as for CEGEDIM DENDRITE, and under which FM would be the only marketing agency that would have signed a processing contract on behalf of third parties with CEGEDIM so that FM could manipulate its own campaigns. CEGEDIM was therefore willing, and for this purpose sent the different drafts of the contract, to grant FM access to its database. For its part, FM proposed a series of modifications that CEGEDIM considered unacceptable. The DI considers that there are no grounds for CEGEDIM to accept such modifications which, moreover, "imply more restrictive conditions for competition than those originally proposed, if not even potentially contrary to the LDC itself."</w:t>
      </w:r>
    </w:p>
    <w:p>
      <w:r>
        <w:t>On another note, it cannot be appreciated that there is discrimination against FM in relation to third companies that contract the database or direct marketing from CEGEDIM, since it even offered FM better conditions: with the new contract FM could manipulate its own campaigns and had the possibility to subcontract, in turn, the mailing and telemarketing.</w:t>
      </w:r>
    </w:p>
    <w:p>
      <w:r>
        <w:t>As for FM's activity in the direct marketing segment, after the non-conclusion of the new contract with CEGEDIM, FM retains the ability to design direct marketing campaigns, although, as is the case with other advertising agencies, if FM wants to use the OneKey database in the execution of the campaign, it must turn to CEGEDIM or to the third companies with which it has subcontracted this service and which have the status of 'data processor', as required by data protection legislation. The DI lists several of these advertising agencies that carry out marketing actions using CEGEDIM's database in their campaigns.</w:t>
      </w:r>
    </w:p>
    <w:p>
      <w:r>
        <w:t>In accordance with the provisions of Article 49.3 of the LDC, it is proposed not to initiate the sanctioning procedure.</w:t>
      </w:r>
    </w:p>
    <w:p>
      <w:r>
        <w:t>10. The Council deliberated and ruled on the matter in its meeting of June 9, 2010.</w:t>
      </w:r>
    </w:p>
    <w:p>
      <w:r>
        <w:t>LEGAL GROUNDS</w:t>
      </w:r>
    </w:p>
    <w:p>
      <w:r>
        <w:t>FIRST. Number 3 of Article 49 of the Competition Defense Law provides that the Council, at the proposal of the Investigation Directorate of the National Competition Commission, may agree not to initiate sanctioning proceedings for the alleged commission of the prohibited conducts in Articles 1, 2, and 3 of the Law and, consequently, the filing of the actions carried out by the Investigation Directorate when it considers that there are no indications of infringement of Law 15/2007.</w:t>
      </w:r>
    </w:p>
    <w:p>
      <w:r>
        <w:t>SECOND. In line with what the Investigation Directorate concludes, the Council considers that the information in the file does not reveal indications of an abuse of a dominant position as alleged. Firstly, the evidence suggests that there are substitutes, more or less imperfect, to CEGEDIM's database which, on the other hand, all indications point to being replicable with a reasonable effort. Secondly, CEGEDIM's conduct cannot be classified as a refusal to supply since, according to the facts in the file, its proposals for a commercial agreement with the complainant have not been irrational or disproportionate and its refusal to continue negotiations stems from demands from the complainant that were more restrictive from a competition standpoint. Finally, according to the complainant, the alleged abuse would aim to extend its dominant position to the direct marketing market for pharmaceutical companies. This risk seems implausible in light of the competitive conditions of that alleged market which, moreover, in the opinion of the DI could even be broader.</w:t>
      </w:r>
    </w:p>
    <w:p>
      <w:r>
        <w:t>Therefore, given the proposal from the Investigation Directorate and not finding indications of infringement of Law 15/2007 in the reported facts, the Council has decided not to initiate proceedings and to file the actions in accordance with the provisions of Article 49.3 of the aforementioned Law.</w:t>
      </w:r>
    </w:p>
    <w:p>
      <w:r>
        <w:t>For all the above reasons, in view of the cited provisions and others of general application, the Council of the National Competition Commission,</w:t>
      </w:r>
    </w:p>
    <w:p>
      <w:r>
        <w:t>RESOLVES</w:t>
      </w:r>
    </w:p>
    <w:p>
      <w:r>
        <w:t>SOLE.- Not to initiate sanctioning proceedings and to file the complaint filed by FORMULAS DE MARKETING, S.L. against CEGEDIM HISPANIA, S.A. and DENDRITE SPAIN, S.A. for alleged conducts prohibited by Law 15/2007, of July 3, on Competition Defense consisting of an alleged abuse of a dominant position.</w:t>
      </w:r>
    </w:p>
    <w:p>
      <w:r>
        <w:t>Communicate this Resolution to the Investigation Directorate and notify the complainant and the respondent, informing them that this concludes the administrative route and that they may file a contentious-administrative appeal before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