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https://www.cnmc.es/expedientes/s015609</w:t>
      </w:r>
    </w:p>
    <w:p>
      <w:r>
        <w:t>Pages translated : 35</w:t>
      </w:r>
    </w:p>
    <w:p/>
    <w:p>
      <w:r>
        <w:rPr>
          <w:b/>
        </w:rPr>
        <w:t>[Pages 1–3]</w:t>
      </w:r>
    </w:p>
    <w:p>
      <w:r>
        <w:t xml:space="preserve">RESOLUTION  </w:t>
        <w:br/>
        <w:t xml:space="preserve">(EXPTE. S/0156/09, AISGE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March 23, 2011  </w:t>
        <w:br/>
        <w:t xml:space="preserve">The Council of the National Competition Commission, with the composition expressed and being the Rapporteur Councilor Mr. Julio Costas Comesaña, has issued the following Resolution in the sanctioning file S/0156/09, AISGE, initiated by the Investigation Directorate of the National Competition Commission against ARTISTAS INTÉRPRETES SOCIEDAD DE GESTIÓN (AISGE), for the alleged conduct of abuse of dominant position prohibited by the Competition Defense Law, consisting of imposing on SOGECABLE inequitable and discriminatory general rates for certain acts of public communication of audiovisual recordings in which acting interpretations are fixed.  </w:t>
        <w:br/>
        <w:t xml:space="preserve">FACTUAL BACKGROUND  </w:t>
        <w:br/>
        <w:t xml:space="preserve">1. On May 29, 2007, a document from XXX, on behalf of SOGECABLE, S.A., Canal Satélite Digital, S.L. (CSD), and DTS Distribuidora de Televisión Digital, S.A. (DTS), the last two being subsidiaries of SOGECABLE, S.A. (jointly, SOGECABLE), was received by the Competition Defense Service (now, Investigation Directorate of the National Competition Commission) against the entity ARTISTAS INTÉRPRETES, SOCIEDAD DE GESTIÓN (AISGE), for alleged practices of abuse of dominant position contrary to Article 2 of the Competition Defense Law and Article 82 of the EC Treaty, consisting of discrimination against SOGECABLE compared to other television operators, in the contracting conditions reached with the different operators; concealment from the complainants of the agreements reached with other operators; abusive negotiating and judicial strategy maintained by AISGE against SOGECABLE and approval of disproportionate, abusive, and inequitable general rates.  </w:t>
        <w:br/>
        <w:t xml:space="preserve">On February 22, 2008, the complainant companies expanded their complaint to the entity ARTISTAS INTÉRPRETES O EJECUTANTES, SOCIEDAD DE GESTIÓN DE ESPAÑA (AIE) attributing to it the same practices as those alleged against AISGE, as the complainants considered that the analysis of the conduct of AIE and AISGE should be carried out jointly.  </w:t>
        <w:br/>
        <w:t xml:space="preserve">2. On July 28, 2008, the Investigation Directorate (DI) of the National Competition Commission (CNC), in view of the information available, admitted the complaint, initiating sanctioning proceedings by Agreement of the Director, for possible prohibited conduct under Article 2 of Law 15/2007, of July 3, on Competition Defense (LDC) and Article 82 of the EC Treaty, against AISGE and AIE.  </w:t>
        <w:br/>
        <w:t xml:space="preserve">In view of the actions taken, and in accordance with the provisions of Article 50.3 of the LDC, on March 4, 2009, the DI proceeded to formulate the Statement of Facts (PCH), which was notified to all interested parties, concluding that AIE together with AISGE had engaged in an abuse of dominant position prohibited by Articles 2 of the LDC and 102 of the Treaty on the Functioning of the European Union (TFEU, formerly Article 82 of the EC Treaty).  </w:t>
        <w:br/>
        <w:t xml:space="preserve">3. On April 28, 2009, and subsequently on May 20, 2009, two documents from AISGE were received in the DI, in which it requests the initiation of the processing of a conventional termination for the sanctioning file in reference to it.  </w:t>
        <w:br/>
        <w:t xml:space="preserve">By Agreement of the Director of Investigation on June 10, 2009, in view of the instructed matters, the conduct under analysis, and taking into account the request for conventional termination by AISGE, it was agreed, in accordance with the provisions of Article 29 of the Competition Defense Regulation (RD 261/2008, of February 22), to break down the present file as follows:  </w:t>
        <w:br/>
        <w:t xml:space="preserve">- The actions concerning AISGE will be carried out within the framework of file S/0156/09 which incorporates what has been acted upon to this moment, of which SOGECABLE, S.A., Canal Satélite Digital, S.L., and Distribuidora de Televisión Digital, S.A. (DTS) are also interested parties.  </w:t>
        <w:br/>
        <w:t xml:space="preserve">- The actions concerning AIE will be carried out within the framework of file 2785/07 which incorporates what has been acted upon to this moment and of which SOGECABLE, S.A., Canal Satélite Digital, S.L. (CSD), and Distribuidora de Televisión Digital, S.A. (DTS) are also interested parties.  </w:t>
        <w:br/>
        <w:t xml:space="preserve">4. Already within the framework of this file S/0156/09, on June 15, 2009, AISGE submitted to the DI a proposal for commitments (folios 4514-4541), consisting of the modification of the current rates of AISGE related to any modality of public communication carried out by television operators, under the principle of effective use or utilization and the establishment of basic objective criteria that allow determining the economic value of the service offered to each user. Likewise, in order to avoid any discrimination, it offers the complainants the same conditions agreed with the other television operators, and if not accepted, it offers to apply in execution of the corresponding judgments, the new rates.  </w:t>
        <w:br/>
        <w:t xml:space="preserve">After AISGE formulated the proposal for commitments, ANTENA 3 TELEVISION, S.A., LA SEXTA, TELEFÓNICA DE ESPAÑA, S.A.U., CABLEUROPA, S.A.U. and TENARIA, S.A. (ONO) and AIE requested to be part of this file as interested parties, which was accepted by the DI by agreement of July 24, 2009.  </w:t>
        <w:br/>
        <w:t xml:space="preserve">The proposal for commitments from AISGE was subject to allegations by SOGECABLE, TELE 5, FORTA, ANTENA 3, NET TV, VEO TV, ORANGE, TELEFÓNICA, AOC, and ONO. The arguments expressed by these television operators were analyzed by AISGE (T. XXII, folios 5043-5212).  </w:t>
        <w:br/>
        <w:t xml:space="preserve">5. By agreement of denial of commitments on April 6, 2010, the DI considered that, in general, although the commitments of AISGE of June 15, 2009 resolved part of the restrictive effects on competition detected and highlighted in the PCH, they were insufficient in certain specific points (T. XXII, folios 5220-5236). In summary, the DI indicates in its Proposal for Conventional Termination to the Council (p. 58 and s.) that “AISGE had made an effort to align its rates with the requirements of competition defense regulations and the most recent jurisprudence in the matter; however, if we start from the premise that in the definition and calculation of general rates there are three steps or areas whose definition does not admit ambiguities and that could be stated as:  </w:t>
        <w:br/>
        <w:t xml:space="preserve">1st - Repertoire, or what is to be remunerated.  </w:t>
        <w:br/>
        <w:t xml:space="preserve">2nd - Calculation system of the use that the user makes of said repertoire; and finally  </w:t>
        <w:br/>
        <w:t xml:space="preserve">3rd - Valuation system of the equitable remuneration corresponding to the use/communication of said repertoire.  </w:t>
        <w:br/>
        <w:t xml:space="preserve">We find that, while in point 2nd there has been an effort to reach a system that allows calculating the user's use, this remains blurred to the extent that there is no clear definition of the repertoire (point 1st) that AISGE administers and that is, therefore, the object of the use.  </w:t>
        <w:br/>
        <w:t xml:space="preserve">This lack of definition exacerbates, if not makes unfeasible, the possibility of establishing a system that quantifies the value that said repertoire contributes (point 3rd) and the equitable remuneration that corresponds, therefore, to its communication.  </w:t>
        <w:br/>
        <w:t xml:space="preserve">Hence, these commitments were considered insufficient and required a more objective, concrete, reasoned, and transparent definition.  </w:t>
        <w:br/>
        <w:t>For all these reasons, the DI agreed, on April 6, 2010, that the commitments presented by AISGE did not adequately resolve the effects on the</w:t>
      </w:r>
    </w:p>
    <w:p>
      <w:r>
        <w:rPr>
          <w:b/>
        </w:rPr>
        <w:t>[Pages 4–6]</w:t>
      </w:r>
    </w:p>
    <w:p>
      <w:r>
        <w:t xml:space="preserve">same.  </w:t>
        <w:br/>
        <w:t xml:space="preserve">Therefore, these commitments were considered insufficient and required a more objective, concrete, reasoned, and transparent definition.  </w:t>
        <w:br/>
        <w:t xml:space="preserve">For all these reasons, the DI agreed, on April 6, 2010, that the commitments presented by AISGE did not adequately resolve the effects on competition arising from the behaviors subject to the file and requested AISGE, pursuant to the provisions of Article 39.3 of the Competition Defense Regulation, approved by Royal Decree 261/2008, of February 22, to present new commitments within a period of fifteen business days that, in the opinion of this Directorate of Investigation, could resolve the competition problems detected in the reference file.”  </w:t>
        <w:br/>
        <w:t xml:space="preserve">6. On June 6, 2010, a document was submitted to the CNC by AISGE formulating allegations and complementary commitments in relation to the DI's agreement to deny commitments of April 6, 2010 (T. XXIV, pages 5435-5633).  </w:t>
        <w:br/>
        <w:t xml:space="preserve">On May 7, 2010, AISGE was requested to specify the information that should be included in the new proposal for commitments. On May 14, 2010, a new document from AISGE entered the CNC specifying and systematizing the information related to its proposal for commitments (T. XXV, pages 5660-5721). In this document, AISGE, after making extensive allegations regarding the content of the Agreement denying commitments from the DI, proceeds to formulate general principles that will serve as a guide for the interpretation of its commitments, subsequently stating the proposed complementary commitments, and finally providing a comprehensive summary of all the commitments offered by AISGE to date.  </w:t>
        <w:br/>
        <w:t xml:space="preserve">This new proposal for commitments was only subject to allegations by SOGECABLE, ANTENA 3, and LA SEXTA, who expressed their disagreement with them. In contrast, the DI stated that it did not share many of the objections raised by these three operators: “In particular, the objection raised by SOGECABLE from the outset of the conventional termination, in the sense that an agreement among all parties on the content of the commitments is a requirement to achieve this, does not seem appropriate, as it is the CNC that must judge whether the restrictive effects on the market that gave rise to a sanctioning file are eliminated by the new proposed conditions and can therefore resolve the termination of the sanctioning procedure.  </w:t>
        <w:br/>
        <w:t xml:space="preserve">Moreover, the responsibility for establishing, where appropriate, general tariffs lies, according to the LPI, with the management entities, and it does not necessarily have to have the agreement of the users, as has been attempted to be defended. With the latter, the management entities have the obligation to negotiate the payment agreements for the remuneration corresponding to each operator, for which they must take into account the specificities of each one. While it is true that there cannot be discrepancies regarding the necessary equity of both, it is also true that in the LPI, general tariffs and negotiations with operators have different significance.  </w:t>
        <w:br/>
        <w:t xml:space="preserve">Finally, the DI considers that a management entity can hardly make an approximate calculation of the value of the public communication of a repertoire, which should be part of the calculations for establishing general tariffs, if it does not take into account the distribution it makes of those rights and the weight of the different collectives. This does not necessarily entail that there must be a system with a direct and concrete relationship between collection and distribution, especially considering that we are not talking about joint collection but about the mandatory collective management of equitable remuneration for the collective of performing artists.” (point 6.4 of the Proposal for Conventional Termination, p. 67).  </w:t>
        <w:br/>
        <w:t xml:space="preserve">7. On July 9, 2010, AISGE submitted a document to the CNC responding to the previous allegations made by SOGECABLE, ANTENA 3, and LA SEXTA, as well as proposing, on certain issues, to modify the commitments formulated. (T. XXV, pages 5782-5805).  </w:t>
        <w:br/>
        <w:t xml:space="preserve">AISGE on July 16, 2010, and SOGECABLE on July 21, 2010, submitted to the CNC respective documents to which various contracts formalized by AISGE with DTS and Sociedad General de Televisión Cuatro SA were attached, confidentially, relating to the effectiveness of the right to remuneration provided in art. 108.5.2 of the TRLPI regarding the artistic interpretations included in the repertoire managed by AISGE, which include SOGECABLE's commitment to inform the DI that it does not oppose the conventional termination of the present file, as it has done (T. XXV, page 5842).  </w:t>
        <w:br/>
        <w:t xml:space="preserve">8. On August 17, 2010, in application of the provisions of Articles 52.1 of Law 15/2007 and Article 39.5 of the RDC, the DI submitted to this Council a Proposal for Conventional Termination (PTC) in the following terms:  </w:t>
        <w:br/>
        <w:t xml:space="preserve">“IT IS PROPOSED that the Council of the CNC resolve the conventional termination of file S/0156/09, initiated by the complaint filed by SOGECABLE S.A., Canal Satélite Digital, S.L., and DTS Distribuidora de Televisión Digital, S.A., the last two being subsidiaries of SOGECABLE S.A., against the entity ARTISTAS INTÉRPRETES, SOCIEDAD DE GESTIÓN “AISGE” (and against ARTISTAS INTÉRPRETES O EJECUTANTES, SOCIEDAD DE GESTIÓN DE ESPAÑA (AIE) which, once broken down, is followed under no. 2785/07), for alleged practices of abuse of dominant position contrary to Article 2 of the Competition Defense Law and 82 of the EC Treaty, in accordance with the provisions of Articles 52 of the LDC and 39.5 of the RDC, considering that the commitments presented by AISGE resolve the competition problems arising from its system of setting and applying general tariffs and the discrimination between operators.  </w:t>
        <w:br/>
        <w:t xml:space="preserve">AISGE shall be obliged to comply with it and to ensure the proper fulfillment of the commitments, it must:  </w:t>
        <w:br/>
        <w:t xml:space="preserve">1. Communicate to the television operators the content of the conventional termination agreement that, if applicable, the Council of the CNC adopts.  </w:t>
        <w:br/>
        <w:t xml:space="preserve">2. Communicate the new general tariffs to the Ministry of Culture.  </w:t>
        <w:br/>
        <w:t xml:space="preserve">3. For the purposes of monitoring compliance with the commitments, AISGE shall send to the Directorate of Investigation of the CNC a copy of the general tariffs communicated to the Ministry of Culture, as well as, where appropriate, a copy of the subsequent agreements with television operators that replace and adapt those currently in force.”  </w:t>
        <w:br/>
        <w:t xml:space="preserve">9. On November 25, 2010, the Council adopted an Agreement by which it resolved to inform the parties that on November 23, 2010, the Proposal for Conventional Termination of the file had been sent to the European Commission under the terms indicated in Article 11.4 of Regulation EC 1/2003.  </w:t>
        <w:br/>
        <w:t xml:space="preserve">10. The Council of the National Competition Commission deliberated for the last time on this file and resolved on it in its session dated March 16, 2011.  </w:t>
        <w:br/>
        <w:t xml:space="preserve">11. The parties in this file are:  </w:t>
        <w:br/>
        <w:t xml:space="preserve">- ARTISTAS, INTERPRETES, SOCIEDAD DE GESTION (AISGE)  </w:t>
        <w:br/>
        <w:t xml:space="preserve">- SOGECABLE S.A. and its subsidiaries CANAL SATÉLITE DIGITAL, S.L. (CSD) and DISTRIBUIDORA DE TELEVISION DIGITAL, S.A. (DTS)  </w:t>
        <w:br/>
        <w:t xml:space="preserve">- ANTENA 3 TELEVISION, SA  </w:t>
        <w:br/>
        <w:t xml:space="preserve">- GESTORA DE INVERSIONES AUDIOVISUALES LA SEXTA, S.A.  </w:t>
        <w:br/>
        <w:t xml:space="preserve">- TELEFÓNICA DE ESPAÑA, S.A.U.  </w:t>
        <w:br/>
        <w:t xml:space="preserve">- CABLEUROPA Y TENARIA, S.A. (ONO)  </w:t>
        <w:br/>
        <w:t xml:space="preserve">- ARTISTAS INTÉRPRETES O EJECUTANTES, SOCIEDAD DE GESTIÓN DE ESPAÑA (AIE)  </w:t>
        <w:br/>
        <w:t xml:space="preserve">PROVEN FACTS  </w:t>
        <w:br/>
        <w:t xml:space="preserve">According to the Proposal for Conventional Termination (PTC) submitted by the Directorate of Investigation and with the information available to the CNC:  </w:t>
        <w:br/>
        <w:t xml:space="preserve">THE COMPLAINING AND COMPLAINED PARTIES:  </w:t>
        <w:br/>
        <w:t xml:space="preserve">1. SOGECABLE SAU is a television operator, 100% subsidiary of Promotora de Informaciones SA (Prisa), which has been the owner of three different television projects:  </w:t>
        <w:br/>
        <w:t xml:space="preserve">CANAL +, an analog terrestrial channel characterized by broadcasting a limited part of its programming openly while the rest of the programming was broadcast in the pay television modality, began operations in 1990 and ceased to exist as such in November 1995. CANAL + continues to broadcast within the Digital + Platform as a pay channel.  </w:t>
        <w:br/>
        <w:t>Canal Satélite Digital (CSD) launched in 1997 as a satellite television platform, later merged in July 2003 with the other existing satellite platform, which belonged to the Telefónica group and had also started its activity in 1997, VÍA DIGITAL (DTS), to create a single unified platform operating under the Digital + brand since July 2003. The SOGECABLE group, in the field of pay television, focuses its activity on Digital +, through its subsidiary DTS (which has absorbed the CSD subsidiary), offering pay content to its subscribers. This satellite platform offers nearly one hundred television channels; the</w:t>
      </w:r>
    </w:p>
    <w:p>
      <w:r>
        <w:rPr>
          <w:b/>
        </w:rPr>
        <w:t>[Pages 7–9]</w:t>
      </w:r>
    </w:p>
    <w:p>
      <w:r>
        <w:t xml:space="preserve">the most important of which are specialized in film and documentary content, sports, and news. Recently, Telefónica SA and Gestevisión Tele 5 SA have each acquired a 22% stake in the share capital of DTS, with 56% belonging to Prisa.  </w:t>
        <w:br/>
        <w:t xml:space="preserve">CUATRO, launched in 2005 by the SOGECABLE group as a generalist open television channel, has recently been acquired by Gestevisión Tele 5 SA through the purchase of 100% of the share capital of Sociedad General de Televisión Cuatro SAU, authorized with commitments by Resolution of the CNC Council dated October 28, 2010.  </w:t>
        <w:br/>
        <w:t xml:space="preserve">2. Artistas Intérpretes Sociedad de Gestión (AISGE) is a Collective Management Entity for the intellectual property rights of actors and performing artists, authorized by the Order of the Ministry of Culture dated November 30, 1990. Its main purpose is the management and/or administration of the intellectual property rights of the patrimonial content of audiovisual artists, actors, dancers, voice actors, and stage directors, through Article 108.5 of the Consolidated Text of the Intellectual Property Law (TRLPI). The collective management rights currently handled by AISGE are:  </w:t>
        <w:br/>
        <w:t xml:space="preserve">1.- the right to compensation for private copying of the recordings of the performing artists managed by AISGE,  </w:t>
        <w:br/>
        <w:t xml:space="preserve">2.- the right to remuneration for public communication of the recordings of the performing artists managed by AISGE,  </w:t>
        <w:br/>
        <w:t xml:space="preserve">3.- and the right to remuneration for distribution through rental of the recordings of the performing artists managed by AISGE.  </w:t>
        <w:br/>
        <w:t xml:space="preserve">AISGE manages part of the rights related to the public communication of audiovisual recordings, in which AIE manages the rights of musical performing artists.  </w:t>
        <w:br/>
        <w:t xml:space="preserve">3. Artistas Intérpretes o Ejecutantes, Sociedad de Gestión de España (AIE) is a Collective Management Entity for intellectual property rights authorized by the Ministry of Culture in June 1989, in accordance with the provisions of Royal Legislative Decree 1/1996, of April 12 (amended by Law 23/2006, of July 7) which approves the Consolidated Text of the Intellectual Property Law (LPI), to act as a Management Entity for the rights recognized in said law. AIE, however, has specialized in the management of the rights of musical performing artists.  </w:t>
        <w:br/>
        <w:t xml:space="preserve">RELEVANT FACTS:  </w:t>
        <w:br/>
        <w:t xml:space="preserve">4. New regulations for the protection and remuneration for the public communication of audiovisual recordings in favor of producers, performing artists.  </w:t>
        <w:br/>
        <w:t xml:space="preserve">On January 1, 1995, Law 43/1994, of December 30, came into force, incorporating Directive 92/100/EC into Spanish law, dated November 19, 1992. In the aforementioned Law, Article 7 established additional protection to that provided in the aforementioned Directive for phonograms, in the form of a right to simple remuneration for any modality of public communication of audiovisual recordings in favor of producers, performing artists.  </w:t>
        <w:br/>
        <w:t xml:space="preserve">From this moment, the interests of AISGE and AIE converge in the daily activities of television operators, where continuous acts of public communication of audiovisual recordings occur.  </w:t>
        <w:br/>
        <w:t xml:space="preserve">5. Establishment by AIE and AISGE of General Tariffs.  </w:t>
        <w:br/>
        <w:t xml:space="preserve">In light of the new regulation, AISGE and AIE each established their corresponding general tariffs for the rights of the groups they manage related to the right to equitable remuneration to performing artists for public communication as typified in the TRLPI, and communicated them to the Ministry of Culture.  </w:t>
        <w:br/>
        <w:t xml:space="preserve">5.1. AISGE, on April 17, 1995, communicated to the Ministry of Culture its General Tariffs regarding the "Rights of remuneration for the public communication of the performances of the performing actors in audiovisual recordings" (art. 20.2.b), c) and d) of the TRLPI). This tariff was set at 1.50% of the total amount of the operating income obtained by the television broadcaster, through progressive application. (folios 2122 to 2125).  </w:t>
        <w:br/>
        <w:t xml:space="preserve">Operating income, for the purposes of applying the tariff, was understood to be the total income obtained by the television broadcaster, including income from subscriber fees, subsidies, and advertising revenue.  </w:t>
        <w:br/>
        <w:t xml:space="preserve">From that date until the present, AISGE's tariffs have undergone the following modifications:  </w:t>
        <w:br/>
        <w:t xml:space="preserve">a) Initial Phase: Validity from 04.17.1995 to 12.09.1996  </w:t>
        <w:br/>
        <w:t xml:space="preserve">General Tariff: 1.50% of the total annual operating income of the television company. Progressive application of this tariff according to the following scheme  </w:t>
        <w:br/>
        <w:t xml:space="preserve">Year Tariff  </w:t>
        <w:br/>
        <w:t xml:space="preserve">1995 0.50%  </w:t>
        <w:br/>
        <w:t xml:space="preserve">1996 0.75%  </w:t>
        <w:br/>
        <w:t xml:space="preserve">1997 1.00%  </w:t>
        <w:br/>
        <w:t xml:space="preserve">1998 1.2%  </w:t>
        <w:br/>
        <w:t xml:space="preserve">1999 1.50%  </w:t>
        <w:br/>
        <w:t xml:space="preserve">2000 1.50%  </w:t>
        <w:br/>
        <w:t xml:space="preserve">b) First modification: Validity from 12.09.1996 to 05.06.1998  </w:t>
        <w:br/>
        <w:t xml:space="preserve">General Tariff: 10% of the taxable base, calculated according to the actual use of the repertoire.  </w:t>
        <w:br/>
        <w:t xml:space="preserve">In the "LEGAL BASIS OF THE TARIFF SYSTEM FOR ACTUAL OR EFFECTIVE USE OF THE REPERTOIRE" of these tariffs, it is established that: "As provided in Article 152.1.b) of the TRLPI, management entities must establish general tariffs for the 'use of their repertoire', that is, based on the repertoire represented by each entity and for whose management, in the form of collective management, it is authorized," further stating that "... the term 'use' must be understood in its literal sense and, therefore, remuneration will only be accrued when there is actual use of the protected repertoire managed by the entity."  </w:t>
        <w:br/>
        <w:t xml:space="preserve">From these principles, the criteria for determining remuneration based on:  </w:t>
        <w:br/>
        <w:t xml:space="preserve">1. Proportional and equitable participation of the artist in the operating income that the user obtains from the public communication of artistic performances.  </w:t>
        <w:br/>
        <w:t xml:space="preserve">2. Delimitation of the protected repertoire managed by the entity  </w:t>
        <w:br/>
        <w:t xml:space="preserve">From these premises, both the taxable base and the variables for calculating remuneration are defined, among which are:  </w:t>
        <w:br/>
        <w:t xml:space="preserve">- Operating income.  </w:t>
        <w:br/>
        <w:t xml:space="preserve">- Protected repertoire managed by the entity.  </w:t>
        <w:br/>
        <w:t xml:space="preserve">- Minutes broadcast.  </w:t>
        <w:br/>
        <w:t xml:space="preserve">- Protected minutes.  </w:t>
        <w:br/>
        <w:t xml:space="preserve">- Average audience or "annual rating"  </w:t>
        <w:br/>
        <w:t xml:space="preserve">- Average audience or "annual rating" of the protected and/or managed repertoire by the entity.  </w:t>
        <w:br/>
        <w:t xml:space="preserve">Specifying the taxable base in such a way that:  </w:t>
        <w:br/>
        <w:t xml:space="preserve">Taxable Base = [ (V min x protected minutes) + (Ves x viewers)] / 2  </w:t>
        <w:br/>
        <w:t xml:space="preserve">Where: Vmin "Value per minute" broadcast = operating income divided by the minutes broadcast, excluding advertising revenue.  </w:t>
        <w:br/>
        <w:t xml:space="preserve">Ves "Value per viewer" = operating income divided by the total viewers or audience for the period considered.  </w:t>
        <w:br/>
        <w:t xml:space="preserve">c) Second modification: Validity from 06.06.1998 to 31.01.2006  </w:t>
        <w:br/>
        <w:t>AISGE abandoned the previous system of establishing tariffs by use, through which it had separated from the line followed together with AIE in 1995, to resume the old system of joint action with AIE, according to which:</w:t>
      </w:r>
    </w:p>
    <w:p>
      <w:r>
        <w:rPr>
          <w:b/>
        </w:rPr>
        <w:t>[Pages 10–12]</w:t>
      </w:r>
    </w:p>
    <w:p>
      <w:r>
        <w:t xml:space="preserve">General Rate: 1.50% of the total monthly operating income of the television company. Progressive application of this rate according to the following scheme:  </w:t>
        <w:br/>
        <w:t xml:space="preserve">Year Rate  </w:t>
        <w:br/>
        <w:t xml:space="preserve">1995 0.50%  </w:t>
        <w:br/>
        <w:t xml:space="preserve">1996 0.75%  </w:t>
        <w:br/>
        <w:t xml:space="preserve">1997 1.00%  </w:t>
        <w:br/>
        <w:t xml:space="preserve">1998 1.25%  </w:t>
        <w:br/>
        <w:t xml:space="preserve">1999 ss 1.50%  </w:t>
        <w:br/>
        <w:t xml:space="preserve">d) Current Rate: Validity from 31.01.06 – Present  </w:t>
        <w:br/>
        <w:t xml:space="preserve">General Rate: 1.50% of the total quarterly operating income of the television company. Progressive application of this rate according to the following scheme:  </w:t>
        <w:br/>
        <w:t xml:space="preserve">Year Rate  </w:t>
        <w:br/>
        <w:t xml:space="preserve">1st year/user activity 0.50%  </w:t>
        <w:br/>
        <w:t xml:space="preserve">2nd year/user activity 0.75%  </w:t>
        <w:br/>
        <w:t xml:space="preserve">3rd year/user activity 1997 1.00%  </w:t>
        <w:br/>
        <w:t xml:space="preserve">4th year/user activity 1998 1.25%  </w:t>
        <w:br/>
        <w:t xml:space="preserve">5th year/user activity 1999 ss 1.50%  </w:t>
        <w:br/>
        <w:t xml:space="preserve">5.2. In 1998, AIE and AISGE jointly communicated their rates to the Ministry of Culture, referring exclusively to the right to remuneration established in the then-current art. 108.3.2 (currently art. 108.5.2 of the TRLPI after Law 23/2006) “…in satisfaction of the legal obligations arising from articles 157.b) and 159.3 of the TRLPI…”, regarding the acts of communication to the public provided in art. 20.2.c) of the TRLPI (wireless broadcasting). Pages 746 ss and 1020 ss.  </w:t>
        <w:br/>
        <w:t xml:space="preserve">AIE sets the full rate at 3.70% of the operating income obtained monthly by the user entity. According to the following progressive application scheme.  </w:t>
        <w:br/>
        <w:t xml:space="preserve">Year Rate  </w:t>
        <w:br/>
        <w:t xml:space="preserve">1995 0.074%  </w:t>
        <w:br/>
        <w:t xml:space="preserve">1996 0.149%  </w:t>
        <w:br/>
        <w:t xml:space="preserve">1997 0.224%  </w:t>
        <w:br/>
        <w:t xml:space="preserve">1998 0.299%  </w:t>
        <w:br/>
        <w:t xml:space="preserve">1999 ss 0.370%  </w:t>
        <w:br/>
        <w:t xml:space="preserve">Source AIE  </w:t>
        <w:br/>
        <w:t xml:space="preserve">5.3. In July 1999, both companies again communicated to the Ministry of Culture the rates related to said remuneration, for the acts of communication provided in art. 20.2.d) TRLPI (satellite broadcasting). Thus, the rates of both companies are established according to the following table:  </w:t>
        <w:br/>
        <w:t xml:space="preserve">Year of emission 1st 2nd 3rd 4th 5th and ss.  </w:t>
        <w:br/>
        <w:t xml:space="preserve">AISGE 0.50% 0.75% 1.00% 1.25% 1.50%  </w:t>
        <w:br/>
        <w:t xml:space="preserve">AIE 0.074% 0.149% 0.224% 0.299% 0.370%  </w:t>
        <w:br/>
        <w:t xml:space="preserve">TOTAL 0.574% 0.899% 1.224% 1.549% 1.870%  </w:t>
        <w:br/>
        <w:t xml:space="preserve">Source: AISGE and AIE  </w:t>
        <w:br/>
        <w:t xml:space="preserve">6. Criteria used by both Management Entities for the determination of their Rates  </w:t>
        <w:br/>
        <w:t xml:space="preserve">The right to remuneration contemplated in art. 108.5 typifies two cases. In its first paragraph, it refers to the acts of public communication provided in articles 20.2.f) and g) (retransmission and broadcasting or transmission in places accessible to the public) whose remuneration must be made according to the general rates established by the corresponding management entity.  </w:t>
        <w:br/>
        <w:t xml:space="preserve">In its second paragraph, which affects the rights subject to this file, it does not refer to the need to establish general rates, but rather to the obligation to pay equitable remuneration, which, according to section 6 of the cited article, must be made effective through the management entities, whose management shall include: negotiation with users, determination, collection, and distribution.  </w:t>
        <w:br/>
        <w:t xml:space="preserve">For this reason, the entities were requested to provide the criteria for both determination and distribution and/or allocation. According to this information, the references used by AISGE to establish its general rates were as follows:  </w:t>
        <w:br/>
        <w:t xml:space="preserve">- The II Collective Agreement of 1983 (in force until 1995) of Televisión Española, S.A. and the actors, which regulated, among other things, the right of actors to receive a supplementary amount each time a program was re-broadcast.  </w:t>
        <w:br/>
        <w:t xml:space="preserve">- Analysis of television schedules during the years 1991 to 1994, inclusive, as a basis for estimating the economic importance of the repertoire then managed by AISGE based on criteria such as: time slot of broadcast; audience levels; duration of advertising breaks; etc. In this regard, AISGE considers that the repertoire it manages has such relevance in the television market that it was even a key element for the reconfiguration of television schedules, redefining its television model towards Spanish fiction series, thus focusing on the exploitation of AISGE's repertoire in qualified advertising time slots (prime time).  </w:t>
        <w:br/>
        <w:t xml:space="preserve">- The Rate that SGAE was demanding from television stations in 1994 for the use of its repertoire.  </w:t>
        <w:br/>
        <w:t xml:space="preserve">- The data published by the Ministry of Culture regarding audiovisual production costs. Although the individualized cost of each "chapter" or item is confidential, from the aggregated data published by the ICCA, it follows that the average cost of these chapters, according to AISGE's assertion (page 1778) is as follows:  </w:t>
        <w:br/>
        <w:t xml:space="preserve">o Authors together with musicians and singers account for 1.5% of the average production cost,  </w:t>
        <w:br/>
        <w:t xml:space="preserve">o Artistic personnel account for 11.30% of that cost.  </w:t>
        <w:br/>
        <w:t xml:space="preserve">o In summary, of the total cost associated with creative personnel in an audiovisual production, 12% corresponds to authors and musical artists and 88% to actors and other artists represented by AISGE.  </w:t>
        <w:br/>
        <w:t xml:space="preserve">- Surveys and popularity polls of various groups.  </w:t>
        <w:br/>
        <w:t xml:space="preserve">Using these references, AISGE arrived at the same figures as AIE, which were reflected in the general Rates communicated to the Ministry of Culture.  </w:t>
        <w:br/>
        <w:t xml:space="preserve">7. Distribution criteria  </w:t>
        <w:br/>
        <w:t xml:space="preserve">The "rate," according to AIE's assertions, is nothing more than the amount or price of equitable remuneration, since in this type of rights there is no content other than the remuneration itself, so that remuneration is the right. Hence, the DI requested from AIE and AISGE the criteria by which the Entities quantify the remuneration to be paid to artists, performers, or executants and the access routes to the remuneration to which they are entitled, given the close relationship that must exist between this and that required from users of audiovisual recordings.  </w:t>
        <w:br/>
        <w:t xml:space="preserve">The Distribution Rules sent by AISGE were approved by the Extraordinary General Assembly of 26/06/05, and updated on 17/12/06 through a reform approved by the General Assembly of AISGE. They list the elements, methods, and factors to be considered for the distribution of the amounts collected.  </w:t>
        <w:br/>
        <w:t xml:space="preserve">In the General Provisions of the same, the following are defined:  </w:t>
        <w:br/>
        <w:t xml:space="preserve">- Principles informing the Rules: predetermination, proportionality, equity;  </w:t>
        <w:br/>
        <w:t xml:space="preserve">- Exclusion of arbitrariness;  </w:t>
        <w:br/>
        <w:t xml:space="preserve">- Rights subject to distribution;  </w:t>
        <w:br/>
        <w:t xml:space="preserve">- Holders of the same;  </w:t>
        <w:br/>
        <w:t xml:space="preserve">- Protected artistic performances; etc.  </w:t>
        <w:br/>
        <w:t xml:space="preserve">It is worth noting, for the purposes of this file, the content of:  </w:t>
        <w:br/>
        <w:t>- Title III. Determination of the work amount. It details the systems and methodology for determining the amount of the work, whose distribution will be carried out based on the actual data corresponding to their use; the "protected duration of the work"; the determination of the amount based on the modality of the acts of public communication and the type of user, classifying the latter into nine categories among which are</w:t>
      </w:r>
    </w:p>
    <w:p>
      <w:r>
        <w:rPr>
          <w:b/>
        </w:rPr>
        <w:t>[Pages 13–15]</w:t>
      </w:r>
    </w:p>
    <w:p>
      <w:r>
        <w:t xml:space="preserve">based on the actual data corresponding to their use; the "protected duration of the work"; the determination of the amount based on the type of public communication acts and the type of user, classifying the latter into nine categories among which are:  </w:t>
        <w:br/>
        <w:t xml:space="preserve">- Public communication on generalist televisions;  </w:t>
        <w:br/>
        <w:t xml:space="preserve">- Public communication via digital platforms;  </w:t>
        <w:br/>
        <w:t xml:space="preserve">- Public communication by cable operators;  </w:t>
        <w:br/>
        <w:t xml:space="preserve">- Public communication on local televisions; etc.  </w:t>
        <w:br/>
        <w:t xml:space="preserve">- Title IV. Determination of the artist's amount. Understanding "artist's amount" as the set of operations and precise mathematical calculations for the distribution of the amounts corresponding to the "work amount" among all the artists involved in it. For this purpose, "artistic categories" are defined at four levels, associating a standardized value of intervention in the work to each of them. Furthermore, a distinction is made between "Determination of categories in artistic performances of image" in which a distinction is made between: film and television series; theater; miscellaneous; categories in dance and "Determination of categories in artistic performances of voice or dubbing," in which several categories are differentiated, such as: "voice-over"; "voice or dubbing"; etc.  </w:t>
        <w:br/>
        <w:t xml:space="preserve">- In the "Distribution system to artists" outlined in Chapter Two, starting from the artistic file of the work and the classification of the participants in it by artistic categories, the "degree of intervention" of each category in the work is established through the application of certain formulas, and then, through a new formula, the amount for each artist of each category is defined.  </w:t>
        <w:br/>
        <w:t xml:space="preserve">- In Title V. Settlement of amounts, after defining the compliance controls and the breakdown of amounts, in its art. 133, when referring to the settlement to foreign entities, it states that this "...will be carried out based on the reciprocity agreements signed."  </w:t>
        <w:br/>
        <w:t xml:space="preserve">Requirements to access remuneration: Being within the subjective scope defined by the statutes of AISGE (folio 1805).  </w:t>
        <w:br/>
        <w:t xml:space="preserve">8. Relationships maintained between SOGECABLE, CSD, and DTS with the Management Entities  </w:t>
        <w:br/>
        <w:t xml:space="preserve">8.1. Year 1995  </w:t>
        <w:br/>
        <w:t xml:space="preserve">After the approval of Law 43/1994, which recognized the right to remuneration for artists for their performances incorporated into a work or audiovisual recording, AIE and AISGE begin an informative phase directed at debtor users whose purpose is:  </w:t>
        <w:br/>
        <w:t xml:space="preserve">- To inform about the nature and purpose of the right.  </w:t>
        <w:br/>
        <w:t xml:space="preserve">- To certify their status as legally authorized entities.  </w:t>
        <w:br/>
        <w:t xml:space="preserve">- To convey to these users the general rates.  </w:t>
        <w:br/>
        <w:t xml:space="preserve">- To arrange the appropriate meetings to initiate effective negotiations.  </w:t>
        <w:br/>
        <w:t>To this end, they send various requests and letters, and on October 25, an initial informative meeting is held with the group of television companies.</w:t>
      </w:r>
    </w:p>
    <w:p>
      <w:r>
        <w:t xml:space="preserve">8.2. Year 1996  </w:t>
        <w:br/>
        <w:t xml:space="preserve">- AISGE and AIE require all operators, including CANAL PLUS, to begin firm and effective negotiations to reach an agreement that establishes common conditions for all users to ensure the remuneration of artists.  </w:t>
        <w:br/>
        <w:t xml:space="preserve">- Negotiations continue until September, the TRLPI is approved, and in its art. 108.3, paragraph 2 (currently 108.5 p. 2), the obligation to ensure remuneration to artists for the acts of broadcasting audiovisual recordings as provided in art. 20 c) is established.  </w:t>
        <w:br/>
        <w:t xml:space="preserve">- AISGE, following the meeting on September 18 with all operators, attended by CANAL PLUS, initiates another phase aimed at articulating the quantification of remuneration based on "actual use" criteria, according to the proposals made by television operators. According to their statements, AISGE, to facilitate negotiations, developed new rates, distancing itself from AIE.  </w:t>
        <w:br/>
        <w:t xml:space="preserve">- Modification of the AISGE rate system: on November 30, 1996, the Board of Directors of AISGE approved the general rates that modify those approved in 1995. On December 9, 1996, AISGE communicated a new rate system to the Ministry of Culture. Conversations between AISGE and different television entities continued, following a meeting on January 15, 1997, regarding a new proposal for a rate system based on the criteria requested by the aforementioned televisions.  </w:t>
        <w:br/>
        <w:t xml:space="preserve">- Budgets for that modification.  </w:t>
        <w:br/>
        <w:t xml:space="preserve">o To adapt to the proposals made in that regard by the television operators, in order to establish a system that can be assumed by them as a whole.  </w:t>
        <w:br/>
        <w:t xml:space="preserve">o To determine the amount of remuneration according to the criterion of actual or effective use. For this purpose, the rate is set according to the following formula: value per minute multiplied by the protected minutes plus the viewer value multiplied by the viewers of the protected repertoire divided by two, by the rate type (10%).  </w:t>
        <w:br/>
        <w:t xml:space="preserve">8.3. Year 1997  </w:t>
        <w:br/>
        <w:t xml:space="preserve">- On January 15, 1997, a joint meeting is held between CANAL PLUS, ANTENA 3, TVE, TELE 5, FORTA, and AISGE.  </w:t>
        <w:br/>
        <w:t>- On February 26, 1997, based on the "value per minute," it is agreed to study the possibility of introducing a second corrective or weighting index based on actual audience, and to exchange the necessary data in order to obtain the calculation of global net revenues, analyze the regime of deductions for self-produced content, and continue negotiations.</w:t>
      </w:r>
    </w:p>
    <w:p>
      <w:r>
        <w:t xml:space="preserve">- On March 12, 1997, the rate system developed by AISGE according to the "value per minute" criterion is analyzed, and the application of the weighting criteria proposed by the television companies in previous meetings is discussed.  </w:t>
        <w:br/>
        <w:t xml:space="preserve">- On April 9, 1997, a commitment is made to formalize in writing the principles and terms according to which the negotiation had been developed, that is, according to the "value per minute" criterion, and the application of the weighting criteria proposed by the televisions in previous meetings.  </w:t>
        <w:br/>
        <w:t xml:space="preserve">- On April 18, 1997, AISGE sends a new economic proposal.  </w:t>
        <w:br/>
        <w:t xml:space="preserve">- According to statements from AISGE, the television companies altered the agreed principles, on April 22, 1997, through a document with their version of the "Principles established by AISGE for the determination of the remuneration that must be paid by those Spanish television companies that use works from its repertoire" which they sent for acceptance to AISGE.  </w:t>
        <w:br/>
        <w:t xml:space="preserve">- AISGE considers that such principles deviate from those agreed upon in a letter dated April 25, 1997 (Doc. No. 4, see document no. 203 of the claim against CANAL PLUS). At the same time, it reiterates what the principles presented and valid for AISGE are: principle of establishing the remuneration due according to the actual use of the protected repertoire, respecting the proportional remuneration rule of the use of interpretations (proportionally greater remuneration for television companies that make greater use); principle of neutrality and non-discrimination (according to a formula for determining the value per minute common to all televisions), principle of promoting the use of works or creations from the AISGE repertoire.  </w:t>
        <w:br/>
        <w:t xml:space="preserve">- A final joint meeting on May 7.  </w:t>
        <w:br/>
        <w:t xml:space="preserve">- In May, AISGE sends a draft contract to the FORTA entities, which in July would be sent under the same conditions to CANAL PLUS and the rest of the televisions. The conditions of this Agreement, as will be seen later, did not align with the criteria that AISGE claims had been agreed upon with the other televisions.  </w:t>
        <w:br/>
        <w:t xml:space="preserve">- On October 31, 1997, a "Framework Agreement" is signed.  </w:t>
        <w:br/>
        <w:t xml:space="preserve">- AISGE and AIE send the "Framework Agreement" to CANAL PLUS, ANTENA 3, TELE 5, and TVE in a joint letter informing them that on October 31, 1997, the two Management Entities had signed a Framework Agreement with all the FORTA entities. In this letter, the Entities AIE and AISGE offered the same conditions agreed upon with the televisions integrated into FORTA, respecting the specificities of each television channel's business and announcing that otherwise they would undertake the corresponding legal actions.  </w:t>
        <w:br/>
        <w:t>- CANAL PLUS, TVE, ANTENA 3, and TELE 5 reject the signing of a possible agreement under the criteria of the "Framework Agreement," accusing AISGE of having unilaterally broken off negotiations and trying to impose upon them a</w:t>
      </w:r>
    </w:p>
    <w:p>
      <w:r>
        <w:rPr>
          <w:b/>
        </w:rPr>
        <w:t>[Pages 16–18]</w:t>
      </w:r>
    </w:p>
    <w:p>
      <w:r>
        <w:t xml:space="preserve">conditions commercially agreed upon with FORTA, which represents 15% of the market.  </w:t>
        <w:br/>
        <w:t xml:space="preserve">- In December, new groups (voice actors, dancers, and stage directors) joined AISGE.  </w:t>
        <w:br/>
        <w:t xml:space="preserve">- The first request by the entities AISGE and AIE to initiate the negotiation process between these entities, EGEDA, and VIA DIGITAL took place on October 28, 1997.  </w:t>
        <w:br/>
        <w:t xml:space="preserve">- On December 22, 1997, through notarial means, AISGE and AIE communicated to the four generalist television channels with which they had not reached an agreement, the aforementioned "Framework Agreement" as the last proposed solution (folios 227 et seq.).  </w:t>
        <w:br/>
        <w:t xml:space="preserve">8.4. Year 1998  </w:t>
        <w:br/>
        <w:t xml:space="preserve">- On January 26, 1998, representatives of TVE, SOGECABLE, ANTENA 3, and TELE 5 sent AIE and AISGE respective notarial letters in response to the letter in which they conveyed the previous "Framework Agreement," stating, among other issues, that they did not accept participation in the Agreement signed with FORTA for various reasons: - being an agreement made with a minority party in the sector; - not having been invited to participate in the meetings despite representing 85% of the sector; - disagreeing with a calculation method whose starting point is the amounts they wish to collect; - the resulting rates not conforming to the basic principles of actual use; - their claim for equitable remuneration being incomprehensible, etc.; and they requested that a series of specifics be clarified beforehand: - concept of users, - acts of public communication of audiovisual recordings subject, - categories of interpretations subject or the repertoire.  </w:t>
        <w:br/>
        <w:t xml:space="preserve">- On May 6, 1998, AISGE and AIE notified the Ministry of Education and Science of the respective rates for the right to remuneration corresponding to performing artists in relation to the public communication of their performances or interpretations fixed in a work and/or audiovisual recording. For all purposes, AISGE reinstates the rate set in 1995 (1.5%), based on the total amount of the monthly operating income of the television company.  </w:t>
        <w:br/>
        <w:t xml:space="preserve">- On May 11, AISGE and AIE sent a demand to CANAL PLUS, TVE, ANTENA 3, and TELE 5 to enforce the right to remuneration according to the general rates communicated to the Ministry.  </w:t>
        <w:br/>
        <w:t xml:space="preserve">- CANAL PLUS, TVE, ANTENA 3, and TELE 5, in response to the previous demand, expressed their willingness to continue the dialogue, without accepting the possibility of making effective the amounts claimed by AISGE and AIE for the right to remuneration according to the rates.  </w:t>
        <w:br/>
        <w:t xml:space="preserve">- In September, the respective lawsuits were filed by AISGE and AIE against TVE, ANTENA 3, and TELE 5, based on the rates communicated to the Ministry.  </w:t>
        <w:br/>
        <w:t xml:space="preserve">- Negotiations with CANAL PLUS continue.  </w:t>
        <w:br/>
        <w:t xml:space="preserve">8.5. Year 1999  </w:t>
        <w:br/>
        <w:t xml:space="preserve">- In May 1999, AIE and AISGE approved their rates for acts of public communication provided for in art. 20.2.d) TRLPI, applicable to DIGITAL PLATFORMS (CANAL SATÉLITE DIGITAL and VÍA DIGITAL), under the same terms as approved by AISGE in 1995 in relation to the then-current Law 43/1994 (1.5%).  </w:t>
        <w:br/>
        <w:t xml:space="preserve">- On July 13, the lawsuit by AISGE and AIE against CANAL PLUS was filed based on the rates communicated to the Ministry in 1998. Negotiations with the two DIGITAL PLATFORMS continue (Doc. No. 4, see Documents No. 17 to 18).  </w:t>
        <w:br/>
        <w:t xml:space="preserve">- In their lawsuit before the Court of First Instance against SOGECABLE, AISGE and AIE requested the Court to declare the right of AISGE and AIE to establish general rates and receive remuneration accordingly from January 1, 1995, until the date the judgment became final.  </w:t>
        <w:br/>
        <w:t xml:space="preserve">- AISGE continued negotiations with SOGECABLE in 1999 to reach an agreement that encompassed not only the remuneration for acts of public communication of audiovisual recordings carried out by it through the terrestrial television channel but also for acts of the same nature that its subsidiary Canal Satélite Digital performs through the multichannel platform of the same name (Digital+).  </w:t>
        <w:br/>
        <w:t xml:space="preserve">8.6. Year 2000:  </w:t>
        <w:br/>
        <w:t xml:space="preserve">- In May 2000, AISGE and AIE filed a complaint, with a similar demand, against Canal Satélite Digital and against Vía Digital.  </w:t>
        <w:br/>
        <w:t xml:space="preserve">8.7. Year 2002:  </w:t>
        <w:br/>
        <w:t xml:space="preserve">- On December 19, 2002: AISGE and TELE 5 reached an agreement. According to AISGE's statement, the economic conditions of the same were communicated to CANAL PLUS.  </w:t>
        <w:br/>
        <w:t xml:space="preserve">8.8. Year 2004:  </w:t>
        <w:br/>
        <w:t xml:space="preserve">- On July 15, 2004: ANTENA 3 and AISGE reached an agreement. According to AISGE's statement, the agreed economic conditions were communicated to the SOGECABLE group.  </w:t>
        <w:br/>
        <w:t xml:space="preserve">8.9. Year 2005:  </w:t>
        <w:br/>
        <w:t xml:space="preserve">- On November 24, 2005: AISGE and TVE reached an agreement. As in the previous cases, AISGE states that the agreed economic conditions were communicated to the SOGECABLE group.  </w:t>
        <w:br/>
        <w:t xml:space="preserve">8.10. Year 2007:  </w:t>
        <w:br/>
        <w:t xml:space="preserve">- On April 18, 2007, AISGE filed a request for provisional execution of the Judgments of July 2, 2001, issued by the Court of First Instance No. 8 of Madrid in the high-amount trial 752/1999 and October 28, 2002, by Section 14 of the Provincial Court of Madrid in the appeal 350/2002.  </w:t>
        <w:br/>
        <w:t xml:space="preserve">9. Remuneration agreed with other television operators  </w:t>
        <w:br/>
        <w:t xml:space="preserve">In this section, the information provided by the parties on a non-confidential basis will be used as a reference.  </w:t>
        <w:br/>
        <w:t xml:space="preserve">9.1. In October 1997, AIE and AISGE signed a Framework Agreement with the Federation of Autonomous Radio and Television Organizations (FORTA). This Agreement established that, for the first five years of the implementation of the right to remuneration, and based on fixed amounts (in millions of pesetas) for each annual exercise, it was set at 7,000 million pesetas (4,000 for AISGE and 3,000 for AIE) that the television channels as a whole should pay for the use of their repertoires during the period 1995-1999, both inclusive.  </w:t>
        <w:br/>
        <w:t xml:space="preserve">The distribution among the television entities of the amount that each should pay was made based on two criteria, each weighted at 50%: (a) their general audience in 1995, and (b) their advertising revenue and subscriber fees also from 1995. Based on the above, an allocation was made for channels outside FORTA, with CANAL PLUS corresponding to a percentage of 11.25% of the total figure for the sector, which meant remuneration rights amounting for AISGE and AIE, for the referred period, to approximately 787.5 million pesetas.  </w:t>
        <w:br/>
        <w:t xml:space="preserve">CHANNEL Revenue* Audience % billing** Weighted average***  </w:t>
        <w:br/>
        <w:t xml:space="preserve">(advertising + General  </w:t>
        <w:br/>
        <w:t xml:space="preserve">fees)  </w:t>
        <w:br/>
        <w:t xml:space="preserve">TVE 71,500 37.17 28.31 32.74  </w:t>
        <w:br/>
        <w:t xml:space="preserve">TELE 5 34,955 18.69 13.84 16.26  </w:t>
        <w:br/>
        <w:t xml:space="preserve">ANTENA 3 60,447 26.26 23.93 25.10  </w:t>
        <w:br/>
        <w:t xml:space="preserve">Canal + 50,987 2.32 20.19 11.25  </w:t>
        <w:br/>
        <w:t xml:space="preserve">Sub National 217,889 84.44 86.27 85.35  </w:t>
        <w:br/>
        <w:t xml:space="preserve">Canal Sur 4,700 3.33 1.86 2.60  </w:t>
        <w:br/>
        <w:t xml:space="preserve">TVC 14,700 4.65 5.82 5.24  </w:t>
        <w:br/>
        <w:t xml:space="preserve">TVM 6,306 3.13 2.50 2.81  </w:t>
        <w:br/>
        <w:t xml:space="preserve">ETB 2,200 1.21 0.87 1.04  </w:t>
        <w:br/>
        <w:t xml:space="preserve">TVG 2,181 1.01 0.86 0.94  </w:t>
        <w:br/>
        <w:t xml:space="preserve">TVV 4,600 2.22 1.82 2.02  </w:t>
        <w:br/>
        <w:t xml:space="preserve">Sub FORTA 34,687 15.55 13.73 14.64  </w:t>
        <w:br/>
        <w:t xml:space="preserve">TOTAL 252,576 99.99 100.00 100.00  </w:t>
        <w:br/>
        <w:t xml:space="preserve">Source: AISGE and AIE  </w:t>
        <w:br/>
        <w:t xml:space="preserve">* Expressed in millions of pesetas.  </w:t>
        <w:br/>
        <w:t xml:space="preserve">** Percentage of billing over the total.  </w:t>
        <w:br/>
        <w:t xml:space="preserve">*** Percentage of audience plus percentage of billing, divided by two.  </w:t>
        <w:br/>
        <w:t>For both entities, the total figure for the sector, in this case, is merely a parameter, a reference, or an estimate that the contracting parties accept in order to set, as a lump sum, the amount of remuneration, in proportion to the estimated revenues that the use of said audiovisual recordings generates or may generate during the term of the agreement (5 years).</w:t>
      </w:r>
    </w:p>
    <w:p>
      <w:r>
        <w:rPr>
          <w:b/>
        </w:rPr>
        <w:t>[Pages 19–21]</w:t>
      </w:r>
    </w:p>
    <w:p>
      <w:r>
        <w:t xml:space="preserve">or an estimate that the contracting parties accept in order to set, as a lump sum, the amount of remuneration, in proportion to the estimated revenues that the use of such audiovisual recordings generates or may generate during the term of the agreement (5 years). It is to say, the overall figure of the sector, or if you will, the estimated and accepted by the parties as an equitable share of the artists in the revenues derived from the exploitation of their performances, and, therefore, the one considered as a reference to set an individual quota.  </w:t>
        <w:br/>
        <w:t xml:space="preserve">This system would only govern during the term of the contract: from January 1, 1995, until December 31, 1999. However, the agreement was tacitly extended for one year (2000), and in 2001, Singular Agreements –bilateral– were signed between the management entities and each regional broadcaster, among the signatories of the Agreement, establishing the tacit extension of the same from 2002, as well as certain bonuses on the remuneration to be paid. It was also provided for automatic extension in subsequent years, applying a percentage increase of 7.6% annually on the remuneration base of the immediately preceding year.  </w:t>
        <w:br/>
        <w:t xml:space="preserve">In the Annex of the extension signed in 2001 in its Clause "Third.- Resolutory Condition" it is established "...If during the initial period of this agreement (...) or during the validity of any of its successive annual extensions, the normalization of the sector occurs in the terms defined in the following paragraph, any of the parties may immediately request the definitive resolution of this agreement" ... considering sector normalization, ".... the situation in which at least two (2) of the national coverage broadcasting entities..... are obliged to pay the remuneration rights corresponding to the artists, performers, or executants for the acts of public communication of works and/or audiovisual recordings provided in article 108.3, second paragraph, of the TRLPI, either by final court ruling or by any kind of agreement between the parties." (folios 1794-5).  </w:t>
        <w:br/>
        <w:t xml:space="preserve">9.2. Agreement of AISGE with TELE 5 and other television operators  </w:t>
        <w:br/>
        <w:t xml:space="preserve">AISGE and AIE, in September 2001, sued TELE 5 before the ordinary jurisdiction claiming payment of the general rates. On September 5, 2001, the Court of First Instance No. 17 of Madrid issued a Judgment, recognizing the existence of the right to remuneration referred to in article 108 of the LPI and its effectiveness through AIE and AISGE. This Judgment was confirmed by the Provincial Court of Madrid, Section 13, and it condemned TELE 5 to pay AIE and AISGE the remuneration corresponding to the period from January 1, 1995, to September 20, 1998, taking as a calculation criterion "[...] the general rates jointly communicated by the plaintiffs to the Ministry of Education and Culture. [...]".  </w:t>
        <w:br/>
        <w:t xml:space="preserve">AISGE has requested confidentiality for the content of the contract reached with TELE 5, of which, according to the information in the DI, in January 2003, AISGE and TELE 5 reached an agreement for the period 1995-2012, which established a remuneration calculation system that sought to approximate the actual use that TELE 5 makes of the performances of the artists and performers and the exploitation revenues that these generate, in such a way that after establishing different categories and taking as a reference the programming grid of TELE 5, a percentage of TELE 5's advertising revenues was set as the calculation base for settlement.  </w:t>
        <w:br/>
        <w:t xml:space="preserve">Regarding the contracts signed between AISGE and other television operators, all of them have been sent confidentially, so they cannot serve as a comparison element.  </w:t>
        <w:br/>
        <w:t xml:space="preserve">According to AISGE's statements in response to the DI's question about how many television operators had been applied the general rates, it responded that "...all the televisions with which AISGE has a signed agreement as of the date, have been applying the rate communicated to the Ministry..., plus the criterion of effective use and a series of bonuses that can only be specified within the framework of a negotiation process...".  </w:t>
        <w:br/>
        <w:t xml:space="preserve">9.3. Agreements of ANTENA 3 / TVE / AIE / AISGE  </w:t>
        <w:br/>
        <w:t xml:space="preserve">AISGE and AIE filed a higher amount lawsuit in September 1998, both against TVE and against ANTENA 3, claiming that the right of performing artists and executants to receive equitable remuneration be declared. After a Judgment in October 2000 for ANTENA 3 and in February 2001 for TVE, in which the claim was partially upheld and having appealed the same, AIE and AISGE jointly requested the provisional execution of the Judgment, later withdrawing AISGE.  </w:t>
        <w:br/>
        <w:t xml:space="preserve">By Order of February 21, 2006, the Court of First Instance No. 5 of Alcobendas set the amount of €14,803,554.29 (plus VAT) for which the execution in favor of AIE should continue, corresponding to the remuneration for public communication of recordings in the period from January 1, 1995, to December 31, 2003.  </w:t>
        <w:br/>
        <w:t xml:space="preserve">LEGAL ENVIRONMENT:  </w:t>
        <w:br/>
        <w:t xml:space="preserve">10. The current configuration of the rights subject to this file has its beginnings in the Rome Convention. The evolution of our regulations has been as follows:  </w:t>
        <w:br/>
        <w:t xml:space="preserve">- Intellectual Property Law of 1987 (LPI). The Spanish legal system, after the validity of the century-old Intellectual Property Law of 1879, regulates for the first time the neighboring rights in Law 22/1987, of November 11, under the heading "Other intellectual property rights." However, this Law, in its article 103, contemplated that right to economic compensation but referred only to performances fixed in a phonogram, not to those fixed in an audiovisual medium, similar therefore to the legal environment that governed internationally and that established in the Rome Convention.  </w:t>
        <w:br/>
        <w:t xml:space="preserve">- Directive 92/100/EEC aimed to eliminate the existing differences between the legislations of the Community countries regarding the protection of other rights related to copyright. In its article 8.1 it states:  </w:t>
        <w:br/>
        <w:t xml:space="preserve">Member States shall grant performers the exclusive right to authorize or prohibit the wireless broadcasting and public communication of their performances, unless such performance constitutes in itself a performance transmitted by broadcasting or is made from a fixation.  </w:t>
        <w:br/>
        <w:t xml:space="preserve">- Law 43/1994, of December 30, incorporating into Spanish law Directive 92/100/EEC, in its wording goes further:  </w:t>
        <w:br/>
        <w:t xml:space="preserve">Article 7. Broadcasting and public communication.  </w:t>
        <w:br/>
        <w:t xml:space="preserve">(...)  </w:t>
        <w:br/>
        <w:t xml:space="preserve">3. By signing a production contract for an audiovisual recording between a performing artist and a producer of audiovisual recordings, the performing artist authorizes the public communication of their performance.  </w:t>
        <w:br/>
        <w:t xml:space="preserve">Notwithstanding the foregoing, the performing artist shall retain, inalienably, the right to obtain equitable and unique remuneration for the public communication of their performance.  </w:t>
        <w:br/>
        <w:t xml:space="preserve">Users of audiovisual recordings used for any form of public communication have the obligation to pay equitable and unique remuneration to the producers of audiovisual recordings and to the performing artists, among whom the distribution shall be made. In the absence of an agreement among them, the distribution shall be made equally.  </w:t>
        <w:br/>
        <w:t xml:space="preserve">4. The right to equitable and unique remuneration referred to in sections 2 and 3 of this article shall be enforced through the management entities of intellectual property rights.  </w:t>
        <w:br/>
        <w:t xml:space="preserve">(...)  </w:t>
        <w:br/>
        <w:t xml:space="preserve">11. The regime, as it had been typified in article 7 of Law 43/1994, was finally incorporated into Royal Legislative Decree 1/1996, of April 12, which approves the current consolidated text of the Intellectual Property Law (TRLPI), subsequently amended by Law 23/2006, of July 7. For the purposes of this file, the following provisions relating to the right of public communication of performing artists are noteworthy:  </w:t>
        <w:br/>
        <w:t xml:space="preserve">Article 108. Public communication.  </w:t>
        <w:br/>
        <w:t xml:space="preserve">(...)  </w:t>
        <w:br/>
        <w:t xml:space="preserve">5. Users of audiovisual recordings used for the acts of public communication provided in article 20.2.f) and g) are obliged to pay the performing artists and the producers of audiovisual recordings the remuneration that corresponds, in accordance with the general rates established by the corresponding management entity.  </w:t>
        <w:br/>
        <w:t>Users of audiovisual recordings used for any act of public communication, other than those indicated in the previous paragraph and</w:t>
      </w:r>
    </w:p>
    <w:p>
      <w:r>
        <w:rPr>
          <w:b/>
        </w:rPr>
        <w:t>[Pages 22–24]</w:t>
      </w:r>
    </w:p>
    <w:p>
      <w:r>
        <w:t xml:space="preserve">of making available to the public as provided in section 1.b), they are also obliged to pay equitable remuneration to the performing artists, without prejudice to the provisions of section 3.  </w:t>
        <w:br/>
        <w:t xml:space="preserve">6. The right to the remunerations referred to in sections 3, 4, and 5 shall be enforced through the management entities of intellectual property rights. The enforcement of rights through the respective management entities shall include negotiation with users, determination, collection, and distribution of the corresponding remuneration, as well as any other actions necessary to ensure their effectiveness.  </w:t>
        <w:br/>
        <w:t xml:space="preserve">Article 157. Other obligations  </w:t>
        <w:br/>
        <w:t xml:space="preserve">1. The management entities are obliged:  </w:t>
        <w:br/>
        <w:t xml:space="preserve">a. To contract with anyone who requests it, unless there is a justified reason, the granting of non-exclusive authorizations of the managed rights, under reasonable conditions and for remuneration.  </w:t>
        <w:br/>
        <w:t xml:space="preserve">b. To establish general tariffs that determine the remuneration required for the use of their repertoire, which must provide for reductions for cultural entities that do not have a profit-making purpose.  </w:t>
        <w:br/>
        <w:t xml:space="preserve">c. To enter into general contracts with associations of users of their repertoire, provided that they request it and are representative of the corresponding sector.  </w:t>
        <w:br/>
        <w:t xml:space="preserve">2. As long as the parties do not reach an agreement, the corresponding authorization shall be understood as granted if the applicant makes the payment under reservation or deposits judicially the amount required by the management entity in accordance with the general tariffs.  </w:t>
        <w:br/>
        <w:t xml:space="preserve">(...)  </w:t>
        <w:br/>
        <w:t xml:space="preserve">LEGAL GROUNDS  </w:t>
        <w:br/>
        <w:t xml:space="preserve">First.- Object of the File  </w:t>
        <w:br/>
        <w:t xml:space="preserve">Within the resolution functions attributed to the Council of the CNC, Article 52.1 of Law 15/2007, of July 3, on the Defense of Competition (LDC) provides that it may resolve, at the proposal of the Directorate of Investigation, the conventional termination of the sanctioning procedure initiated when the alleged infringers propose commitments that resolve the effects on competition arising from the behaviors subject to the file and sufficiently guarantee the public interest.  </w:t>
        <w:br/>
        <w:t xml:space="preserve">The Directorate of Investigation bases its Proposal for Conventional Termination on the following legal assessment:  </w:t>
        <w:br/>
        <w:t xml:space="preserve">“As has been seen, this file originated from a situation of restriction of competition in the market for the management of the intellectual property rights of performing artists due to the public communication of recordings in the audiovisual market.  </w:t>
        <w:br/>
        <w:t xml:space="preserve">The specificities of intellectual property and its relevant role, which affects multiple sectors of the economy, require that intellectual property markets function adequately and without distortions in terms of competition, especially when for many users the exploitation of works and performances constitutes a necessary factor for the development of their activity. Hence, in view of AISGE's actions, the opening of this file was reached due to the distortions that were occurring in the market.  </w:t>
        <w:br/>
        <w:t xml:space="preserve">The request for conventional termination through the proposal of commitments entailed a serious difficulty, insofar as the DI was in no case going to assess specific and defined tariffs as the price of rights, since it is not within its competence. However, the commitments now proposed, the DI understands, are not related to the definition of a specific tariff, but rather, in line with the need for objective, reasonable, and equitable justification of AISGE's remuneration demands, what is proposed is a general calculation system that seeks to approximate as closely as possible to the calculation of the effective use by each user of a defined and known repertoire, and general criteria to assess what the use of that repertoire means for each of the different operators, thus becoming an indispensable element in the reasonable and equitable negotiation of the required remuneration rights.  </w:t>
        <w:br/>
        <w:t xml:space="preserve">This is more clearly seen if we consider that:  </w:t>
        <w:br/>
        <w:t xml:space="preserve">1.- In the market that now concerns us, which in many aspects is regulated by the LPI:  </w:t>
        <w:br/>
        <w:t xml:space="preserve">- the management entities are obliged to enforce the rights to equitable remuneration (art. 157.4 TRLPI).  </w:t>
        <w:br/>
        <w:t xml:space="preserve">- The management entities have significant market power, usually conducting their activity from a monopoly position.  </w:t>
        <w:br/>
        <w:t xml:space="preserve">- In turn, users of audiovisual recordings have the obligation to pay equitable remuneration (art. 108.5, p 2 TRLPI).  </w:t>
        <w:br/>
        <w:t xml:space="preserve">- And the management entities to enforce such remuneration rights must: negotiate with users, determine the remuneration, collect and distribute the corresponding remuneration (art. 108.6 TRLPI).  </w:t>
        <w:br/>
        <w:t xml:space="preserve">- Generally, the management entities, in managing these rights, have established general tariffs or reference prices. Throughout the file, the obligation or not to set tariffs in cases of equitable remuneration (art. 157.4 TRLPI) has been discussed; however, it is not within the competence of this DI to express itself on the correct interpretation of the LPI, nor is it essential when qualifying the behaviors subject to this file.  </w:t>
        <w:br/>
        <w:t xml:space="preserve">What is a real fact is that the management entities define these general tariffs and communicate them to the Ministry of Culture.  </w:t>
        <w:br/>
        <w:t xml:space="preserve">- In the absence of an agreement with users, the general tariffs are applied as a guarantee of the aforementioned effectiveness, and are therefore subsidiary to negotiation and agreement with users, in order to effectively ensure the equitable remuneration in question.  </w:t>
        <w:br/>
        <w:t xml:space="preserve">Therefore, the general tariffs established by each of the management entities, in this case AISGE, play a substantial role in the functioning of the market because regardless of the “negotiation” to which the entities are obliged with users, the general tariffs have a function, not only subsidiary in the event of not reaching an agreement, but also as a reference for what is understood as equitable remuneration. The opposite, the lack of equity in the general tariffs, implies introducing an element of generalized distortion in prices, negotiations, and therefore market conditions.  </w:t>
        <w:br/>
        <w:t xml:space="preserve">2.- Analyzing AISGE's conduct in light of the complaint and the instruction carried out by the DI, which was specified in the Statement of Established Facts, it was attributed to AISGE that, from the dominant position it holds:  </w:t>
        <w:br/>
        <w:t xml:space="preserve">- Established through general tariffs and demanded from television broadcasters, an inequitable remuneration for the use of the rights it manages. The general tariffs were considered inequitable, insofar as:  </w:t>
        <w:br/>
        <w:t xml:space="preserve">o They bore no relation to the economic value of the service offered.  </w:t>
        <w:br/>
        <w:t xml:space="preserve">o They were not transparent nor did they allow knowing the remunerable elements for which those tariffs are demanded.  </w:t>
        <w:br/>
        <w:t xml:space="preserve">o They were not transparent regarding the remuneration demanded for those same rights from other operators acting in the same market.  </w:t>
        <w:br/>
        <w:t xml:space="preserve">- AISGE imposed inequitable commercial conditions, through an abusive negotiating and judicial strategy, on SOGECABLE and other operators; applying unequal conditions for equivalent services and thereby placing some competitors at a disadvantage compared to others.  </w:t>
        <w:br/>
        <w:t xml:space="preserve">3.- With the possibility of conventional termination opened, AISGE formulated the necessary commitments that should resolve the restrictive effects of its conduct in the market.  </w:t>
        <w:br/>
        <w:t xml:space="preserve">The DI rejected these initial commitments on the grounds that:  </w:t>
        <w:br/>
        <w:t xml:space="preserve">a. The proposed general tariffs did not bear sufficient relation to the good to be remunerated. Specifically, it was considered that the tariffs must be directly linked to making effective the payment of remuneration for its use, to the specific collective managed by the entity.  </w:t>
        <w:br/>
        <w:t>b. That collective or “repertoire” managed must be known and valued by the user for the payment of rights.</w:t>
      </w:r>
    </w:p>
    <w:p>
      <w:r>
        <w:rPr>
          <w:b/>
        </w:rPr>
        <w:t>[Pages 25–27]</w:t>
      </w:r>
    </w:p>
    <w:p>
      <w:r>
        <w:t xml:space="preserve">c. The tariff rate of 1.5 was maintained without any justification, except for the consideration that it is widely accepted in the sector.  </w:t>
        <w:br/>
        <w:t xml:space="preserve">d. The possibility of discrimination among operators was maintained when an agreement was not reached in the negotiation.  </w:t>
        <w:br/>
        <w:t xml:space="preserve">e. There was a lack of transparency:  </w:t>
        <w:br/>
        <w:t xml:space="preserve">• both regarding the scope and type of repertoire subject to equitable remuneration,  </w:t>
        <w:br/>
        <w:t xml:space="preserve">• and the parameters that serve as the basis for negotiation with each of the operators.  </w:t>
        <w:br/>
        <w:t xml:space="preserve">f. It was considered necessary to better align the formulated criteria with the television business model in its various modalities.  </w:t>
        <w:br/>
        <w:t xml:space="preserve">4.- As noted in Section 5 and in the Annexes to this document, AISGE formulated new commitments, which were subsequently expanded and clarified in some aspects (Section 7), by which the previously proposed commitments were broadened, defining and specifying the parameters that configure the General Tariffs in such a way that their application implies:  </w:t>
        <w:br/>
        <w:t xml:space="preserve">- A remuneration system based on actual use or effective utilization.  </w:t>
        <w:br/>
        <w:t xml:space="preserve">- Weighted application of a tariff rate. Prior justification of the reasons of an economic, legal, and opportunistic nature that have advised setting a specific tariff rate, without changing the rate, the basis for operation is modified through negotiation with the main television operators, as an objective approach to the concept of "effective or real use" of the repertoire, in such a way that this tariff is linked only to the income generated by the use of the repertoire managed by AISGE.  </w:t>
        <w:br/>
        <w:t xml:space="preserve">- Adjustment of the tariff system to the specificities inherent to each television exploitation model.  </w:t>
        <w:br/>
        <w:t xml:space="preserve">- Definition, delimitation, and publicity of the repertoire managed by AISGE.  </w:t>
        <w:br/>
        <w:t xml:space="preserve">- Proportionality of the tariffs concerning the economic value of the service according to objective criteria: - Audience of the channel; - Average income per subscriber in the case of pay television operators; - Advertising revenues obtained by the channel, and to the extent possible, linked to the use of the repertoire; - Intensity of use. Minutes broadcast and protected or of content integrated into the repertoire managed by the entity; - Exclusion of those services that do not form part, legally or contractually, of the entity's repertoire.  </w:t>
        <w:br/>
        <w:t>- Non-predetermined bonuses in all cases, but the user or AISGE may propose other criteria to establish those bonuses, provided they are based on objective reasons and do not discriminate against other television operators.</w:t>
      </w:r>
    </w:p>
    <w:p>
      <w:r>
        <w:t xml:space="preserve">- Absence of arbitrariness and discrimination. Regarding possible discrimination, AISGE commits to claim, exclusively, the tariff agreed with other television operators equivalent to the debtor, when after a failed negotiation the judicial route has been initiated, and this commitment is specified in the case of SOGECABLE, with which, as previously seen, an agreement has been reached.  </w:t>
        <w:br/>
        <w:t xml:space="preserve">- Transparency regarding the rights holders and the type of works. Making available to the user:  </w:t>
        <w:br/>
        <w:t xml:space="preserve">o List of rights holders and audiovisual works and recordings of its repertoire.  </w:t>
        <w:br/>
        <w:t xml:space="preserve">o Types of works and audiovisual recordings that incorporate artistic performances from the AISGE repertoire (TNS Sofres Codes).  </w:t>
        <w:br/>
        <w:t xml:space="preserve">o Information on agreements with foreign entities.  </w:t>
        <w:br/>
        <w:t xml:space="preserve">- Cooperation. In such a way that it offers users the possibility of conducting joint or independent market studies that allow determining the qualitative value of the repertoire managed by AISGE.  </w:t>
        <w:br/>
        <w:t xml:space="preserve">5.- In light of all this, the DI considers that the new configuration given to the General Tariffs in the proposed commitments allows them to be regarded as an equitable reference for the remuneration owed to the collective managed by AISGE, to the extent that what is defined are the general and objective parameters (Annex 1) that should serve for subsequent negotiation with each of the operators. The subsequent negotiation, within the framework established by these parameters, will allow defining the remuneration owed by each operator, according to their particular circumstances.  </w:t>
        <w:br/>
        <w:t xml:space="preserve">These parameters or methodology, which will be generally known to the operators, seem appropriate, as they seek to bring the remuneration of this right closer to a set of variables that determine a payment based on the effective use of the repertoire managed by AISGE.  </w:t>
        <w:br/>
        <w:t xml:space="preserve">In turn, the repertoire managed by AISGE can be known by the operators in its entirety, identifying the repertoire and the types of works managed by AISGE, as it has committed to providing the user with a list of performers and audiovisual recordings containing their performances, in relation to the period subject to settlement and/or negotiation, as well as the list of agreements concluded with foreign entities and organizations, indicating the terms and conditions agreed with each of them.  </w:t>
        <w:br/>
        <w:t xml:space="preserve">On the other hand, for the purposes of "valuation of the product," AISGE commits to articulating the possibility of conducting valuation studies (quantitative and qualitative) of the repertoire, both by the entity and jointly with the user if they so wish, as well as providing the precise information for the articulation of the distribution process carried out by the entity. In this way, a dual method of valuing AISGE's "product" is allowed, from both a quantitative and qualitative perspective: one independent, carried out by a third party, and another, internal, carried out by AISGE and the user, taking into account the parameters contained in AISGE's distribution rules.  </w:t>
        <w:br/>
        <w:t xml:space="preserve">The measures offered to avoid discrimination among operators are also considered adequate. Firstly, because the existence of calculation parameters, known to all, makes discrimination among operators in the demand for remuneration owed to artists more difficult, and likewise, in the negotiation phase, both in cases where it reaches a successful conclusion and in cases where, after the negotiation fails, it is demanded through other means. In this way, appropriate measures are articulated to ensure that there is always proportionality between the general tariffs and the prices negotiated through agreements.  </w:t>
        <w:br/>
        <w:t xml:space="preserve">All of this leads to the conclusion that, although the DI is not the competent authority to interpret or define application criteria for the LPI, it must ensure that the rules of competition are not violated in the audiovisual rights market, as both the Council of the CNC and the European Commission have stated in their Communication to the Council, the Parliament, and the European Economic and Social Committee of April 16, 2004 – The management of copyright and related rights in the internal market, COM 2004 –, when referring to the collective management of rights and emphasizing the capital importance of efficiency, transparency, and accountability of management societies; just as it had already done in its Directive 2001/29/EC on copyright in the information society, stating in Recital 17 that it is necessary, especially in light of the demands arising from the digital environment, to ensure that collective management societies for copyright achieve a higher level of rationalization and transparency in compliance with competition rules.  </w:t>
        <w:br/>
        <w:t xml:space="preserve">As seen throughout this report, the proceedings were initiated against both AISGE and AIE, which after the PCH separately requested the conventional termination of the same. In the case of AIE, it was not possible to consider the commitments formulated as adequate, among other reasons because the lack of concrete, real, and objective definition of the managed repertoire and the lack of transparency thereof prevented assessing its effective use, as well as establishing the economic value of the service, or justifying the basis for remuneration, with the implicit discriminatory effects of such indefinition. This led to the closure of the proceedings for its conventional termination.  </w:t>
        <w:br/>
        <w:t xml:space="preserve">However, in the present case, it is considered that progress has been made in that effort for rationalization and transparency, following the principles of effective use and comparison with analogous situations.”  </w:t>
        <w:br/>
        <w:t xml:space="preserve">Second.- Regulatory framework  </w:t>
        <w:br/>
        <w:t>The Directorate of Investigation concludes the Specification of Facts by assessing that “…AISGE and AIE have infringed Article 2 paragraphs a) and d) of the LDC and Article 82, paragraphs a) and c) of the Treaty, by:</w:t>
      </w:r>
    </w:p>
    <w:p>
      <w:r>
        <w:rPr>
          <w:b/>
        </w:rPr>
        <w:t>[Pages 28–30]</w:t>
      </w:r>
    </w:p>
    <w:p>
      <w:r>
        <w:t>- the direct and indirect imposition of unfair commercial conditions, through an abusive negotiating and judicial strategy.</w:t>
        <w:br/>
        <w:t>- by establishing general tariffs for public communication rights that it administers which are inequitable, in that they do not meet the requirements of the LPI to establish remuneration that corresponds to performing artists "under reasonable conditions." They bear no relation to the good to be remunerated, nor are they comparable to those established for that same good by other operators.</w:t>
        <w:br/>
        <w:t>- discriminatory, in that it has led to claims against SOGECABLE for substantially different and higher economic compensation than that claimed from other television stations for the same services. AISGE and AIE have engaged in a practice of price discrimination from a position of market dominance. This discriminatory practice has caused anti-competitive disadvantages to third-party contractors, and therefore, such price discrimination constitutes an abuse of their dominant position.</w:t>
      </w:r>
    </w:p>
    <w:p>
      <w:r>
        <w:t>In summary, the Council considers that the DI imputes to AISGE a single infringement of the prohibition of abuse of dominant position, which, consisting of the demand from SOGECABLE, CSD, and DTS for the payment of inequitable and discriminatory general tariffs, fits within Article 2.2 letters a) and d) of the LDC and Article 102, letters a) and c) of the TFEU.</w:t>
      </w:r>
    </w:p>
    <w:p>
      <w:r>
        <w:t>The cited provisions prohibit the abusive exploitation by one or several companies of their dominant position in all or part of the national market (art. 2 LDC), or in the common market or in a substantial part thereof, to the extent that it may affect trade between the Member States of the Union (art. 102 of the TFEU). Regarding the impact on intra-community trade, in the Resolution of July 23, 2009 (Expte. 651/08, AIE/TELE 5, FD 5º), concerning the same right that is the subject of this file, the Council stated that: "... AIE charges a remuneration for all public communication of audiovisual recordings, and in that repertoire, musical performing artists from other Member States of the European Union also participate, since Spanish legislation reserves to this collective management entity the inalienable and unavailable right of any musical performing artist, regardless of their nationality. Therefore, when there is a public communication of an audiovisual recording, intra-community trade will be affected, to the extent that the tariffs affect the rights of those community musical performing artists."</w:t>
      </w:r>
    </w:p>
    <w:p>
      <w:r>
        <w:t>In the Resolution of February 4, 2008 (Expte. R 714/07, FD 6), this Council recalled that the relevant market in this file had been defined in the Resolution of the Competition Defense Tribunal (TDC) (Expt. r 686/06, Performing Artists) indicating that from the user's perspective, that market would be the public communication rights of the intellectual property of performing artists, a market in which the power of management entities is very high, since television stations cannot do without their repertoire, and that from the supply perspective, there would be two markets, one concerning the rights managed by AIE and another for those of AISGE, and although it was considered that the management entities have a collective dominant position, the truth is that AIE and AISGE enjoy full independence, since as monopolists of their respective repertoires, neither of these entities can exert competitive pressure on the other.</w:t>
      </w:r>
    </w:p>
    <w:p>
      <w:r>
        <w:t>In this file, for AISGE, the reference market is the management of the intellectual property rights corresponding to artists in the audiovisual field (actors, dancers, voice actors, and stage directors) for the public communication of their performances incorporated into an audiovisual recording, in which it holds a dominant position. Moreover, as noted by the National Court in its Judgment of February 5, 2009, AISGE is a monopolist that is, by legal provision, in "a privileged position from a legal point of view because the rights of public communication must necessarily be enforced..." through a management entity, with the Law on Intellectual Property itself "... at the basis of the existence of several entities each dedicated to exploiting the copyright of a specific nature."</w:t>
      </w:r>
    </w:p>
    <w:p>
      <w:r>
        <w:t>This same conclusion was reached by this Council in its Report on the collective management of intellectual property rights, published in December 2009, that is, it has been the legislator's intention to establish a regulatory framework in which collective management is entrusted to a certain type of non-profit associations that act as monopolies, and that despite this, no behavioral obligations have been imposed on them that would allow counteracting the high bargaining power (against the holders of the managed rights and against the users of the repertoire) that such market power attributes to them. In particular, the Council concludes:</w:t>
      </w:r>
    </w:p>
    <w:p>
      <w:r>
        <w:t>"In the tariff area, there is no ex-ante control over the tariffs unilaterally set by the entities, either through the introduction of effective obligations or through the supervision of a competent authority, since the powers that the LPI assigns to the Public Administrations are very general and ambiguous, and without any sanctioning power.</w:t>
      </w:r>
    </w:p>
    <w:p>
      <w:r>
        <w:t>This circumstance leads to the negotiation process with users not guaranteeing that the tariffs are reasonable and equitable. The entities enjoy a high market power and the legal framework allows that, in the event of a lack of agreement, the general tariffs previously unilaterally set by the monopolistic entity are applied, which reduces the incentives for the latter to enter into real negotiation.</w:t>
      </w:r>
    </w:p>
    <w:p>
      <w:r>
        <w:t>Moreover, the LPI does not include transparency obligations regarding the repertoires or areas of rights effectively managed by the entities, regarding management costs, regarding undistributed amounts, or regarding the contracts they reach with individual users, which causes information problems that affect the balance of negotiation.</w:t>
      </w:r>
    </w:p>
    <w:p>
      <w:r>
        <w:t>Finally, ex-post control is very limited. The Intellectual Property Commission, conceived by the LPI of 1987 as a mechanism for resolving conflicts between management entities and users, has not proven to be an effective instrument for resolving tariff conflicts, mainly because it has not been endowed with the necessary competencies and coercive powers to serve effectively for that purpose." (Conclusion Four).</w:t>
      </w:r>
    </w:p>
    <w:p>
      <w:r>
        <w:t>With the aim of articulating a model of collective management of intellectual property rights more favorable to competition, in which the possibilities for entities to face greater competitive pressure are increased, allowing a reduction in the level of conflict and ensuring an effective framework for resolving conflicts related to the management of intellectual property, and in particular tariff conflicts, the Council formulates two types of proposals for regulatory modification to the legislator. On the one hand, with the purpose of exposing management entities to greater competitive pressure, the legislator is recommended to conduct a general review of the TRLPI to specifically "eliminate those elements of the LPI that are acting as legal barriers to entry, taking into special account the new possibilities offered by technological progress. In particular: • The obligation of collective management through management entities in cases where it is currently imposed should be eliminated, except when such obligation is imposed by a European Directive. • The current system of administrative authorization of collective management entities should be replaced by a simple registration system. • The obligation for management entities to be non-profit should be eliminated, expressly providing that they can be constituted under any of the legal forms permitted by law." (Recommendation Two).</w:t>
      </w:r>
    </w:p>
    <w:p>
      <w:r>
        <w:t>On the other hand, as long as management entities act as de facto monopolies, in order to counteract that market power and prevent possible abuses and inefficiencies, the legislator is recommended to:</w:t>
        <w:br/>
        <w:t>(i) Review the regulation of the LPI relating to the statutes of the entities and to the management contracts with the rights holders, in order to provide them with greater flexibility and facilitate the change of management entity by the rights holders.</w:t>
        <w:br/>
        <w:t>(ii) Include in the LPI transparency obligations, with penalties provided in case of non-compliance. In any case, the transparency obligations should incorporate, at least:</w:t>
        <w:br/>
        <w:t>• Obligations to make available to holders and users the repertoires (holder and works/services) effectively managed.</w:t>
        <w:br/>
        <w:t>• Obligations to inform about the contracts they reach with other users when negotiating with users who carry out a similar activity to the former.</w:t>
        <w:br/>
        <w:t>• Obligations to inform about the contracts entered into with collective management organizations of their same class;</w:t>
        <w:br/>
        <w:t>(iii) Include as an obligation in the LPI that management entities establish, at least for certain classes of users, tariffs that take into account actual use, maintaining as an alternative the availability tariffs; (iv) for it to be an independent regulatory body, endowed with technical competence and adequate decision-making and sanctioning powers to resolve any conflicts in intellectual property matters and, in particular, tariff conflicts between management entities and users, whether regarding exclusive rights or remuneration;</w:t>
      </w:r>
    </w:p>
    <w:p>
      <w:r>
        <w:rPr>
          <w:b/>
        </w:rPr>
        <w:t>[Pages 31–33]</w:t>
      </w:r>
    </w:p>
    <w:p>
      <w:r>
        <w:t>(iv) To establish by regulation the criteria to which management entities must adhere to determine the tariffs for the use of their repertoire of exclusive rights and/or remuneration, and to which the regulatory Commission will also adhere in case its intervention is necessary. The criteria should include, in any case, the following:</w:t>
        <w:br/>
        <w:t>• Scope of the repertoire. The tariff must be adjusted to the repertoire or scope of rights effectively managed by the entity, and if there are rights holders whose rights are not managed by the entity, these should not be included in the calculation of the tariff.</w:t>
        <w:br/>
        <w:t>• Non-discrimination. The tariff must be similar for equivalent services, that is, for users who carry out a similar economic activity and a similar use of the repertoire, unless there is an objective justification for establishing different tariffs.</w:t>
        <w:br/>
        <w:t>• Economic value and effective use of the repertoire. The tariff must be based on criteria that allow it to be adjusted to the economic value of the use of the repertoire.</w:t>
        <w:br/>
        <w:t>• Simplicity, transparency, and publicity. Tariff manuals must be simple and clear. The methodologies for calculating the tariffs must be accessible to users. (Recommendations Third to Seventh).</w:t>
        <w:br/>
        <w:t>Third.- Suitability of the commitments to resolve the restrictive effects of the alleged behaviors</w:t>
        <w:br/>
        <w:t>In assessing the adequacy of the latest commitments presented by AISGE to resolve the effects on competition arising from the behaviors attributed to it in this file regarding SOGECABLE and to sufficiently guarantee the public interest, one cannot overlook the deficient regulatory framework in which these behaviors occur, and it is the legislator who is responsible for making the necessary modifications to achieve a model of collective management that is more conducive to free competition and effective in resolving conflicts. The National Competition Commission is not the body responsible for the application and interpretation of the TRLPI; in particular, it does not fall within its competencies (i) to delineate the repertoire managed by the management entity; (ii) to set general tariffs or establish criteria for determining their amount for the use of the simple remuneration rights that are the subject of this file; (iii) nor to set the price that users of intellectual property rights must pay to the management entity that administers them.</w:t>
        <w:br/>
        <w:t>As noted by the DI in its assessment transcribed in the first legal basis, AISGE has proposed as commitments a general system or methodology for calculating the effective use by each user of a repertoire that is defined and can be known by them, as well as general and flexible criteria for assessing what the use of that repertoire means for each of the users, thus becoming an indispensable element in the necessary negotiation of the amount of the simple remuneration rights subject to this file.</w:t>
        <w:br/>
        <w:t>AISGE has presented in its writings before the Directorate of Investigation arguments that would justify maintaining the tariff rate of 1.5% approved in 1995, but the commitments it has proposed for the conventional termination of this file do not refer to the definition of a specific tariff, but rather, in line with the need for objective, reasonable, and equitable justification of AISGE's remuneration demands, what is proposed is a methodology or parameters that serve as the basis for the calculation system of the remuneration required from each operator. Consequently, the Council does not comment on the reasonableness of the tariff rate set by AISGE.</w:t>
        <w:br/>
        <w:t>Based on the preceding considerations, in the context of the current regulatory framework for collective management, the Council considers that the latest commitments presented by AISGE meet the requirements set forth in Article 52.1 of the LDC to resolve the conventional termination of this sanctioning file. In accordance with the Proposal submitted by the DI, the Council considers that the latest commitments presented by AGEDI, which are binding as provided in Article 52.2 of the LDC, are those presented in its writing of March 13, 2010 (T. XXV, pages 5660 to 5706) and which are reproduced as Annex 1 to the Proposal for Conventional Termination of the Directorate of Investigation, with the modifications or clarifications offered in its response to the allegations of SOGECABLE, ANTENA 3, and LA SEXTA of July 9, 2010 (T. XXV, pages 5804 and following).</w:t>
        <w:br/>
        <w:t>These are commitments that follow the recommendations made by the Council in previous Resolutions confirmed by the courts (RTDC 27/07/2000, SAN of 14/01/2004, and STS of 18/10/2006 regarding File 465/99 Intellectual Property Audiovisual; RTDC of 13/07/2006 and SAN of 5/02/2009 regarding File 593/05, Televisions; RCNC of 9/12/2008 and SAN 10/03/2010 regarding File 636/07 Phonograms; RCNC of 23/07/2009, File 651/08 AIE/TELE 5) and in its Report on collective management cited, in those matters that, aside from the will of the legislator, are within the management entity's discretion to adopt.</w:t>
        <w:br/>
        <w:t>They are also commitments that conform to the jurisprudential doctrine established by Chamber 1 of the Supreme Court in its Judgments of February 18 and April 7, 2009, and December 13, 2010 (the latter from the Full Chamber). The last two judgments resolve the disputes initiated by AIE (and AISGE) against SOGECABLE (Canal+ and Canal Satélite Digital, respectively) claiming remuneration for artists for the acts of public communication of audiovisual recordings of art. 108.5.2 of the TRLPI according to the general tariffs unilaterally approved by those management entities. In these judgments, the Supreme Court establishes a jurisprudential doctrine based on the following points: (i) the existence of a prior negotiation process does not justify that the general tariff complies with the equity requirement that is implicit in the very concept of equitable remuneration of art. 108.5 of the TRLPI; (ii) setting the tariff based solely on the exploitation revenues of the user cannot be accepted; (iii) the criterion of effective use of the repertoire, to the extent that its application is possible, is more equitable than the criterion of availability; (iv) the criterion of comparing the tariff with the agreements reached by the management entity must be taken into account to assess its equity, as this has a close relationship with the need for tariffs to be comparatively adequate among users, which does not mean they must be identical, but an excessive disproportion that is not justified by management reasons or analogous reasons must be proscribed; and (v) the scope of the repertoire must also be taken into account in correlation with the distribution of the product obtained among the holders of intellectual property rights.</w:t>
        <w:br/>
        <w:t>A fundamental element in this positive assessment of the commitments formulated by AISGE is the possibility that its repertoire can be effectively known by the operators in its entirety, identifying the repertoire and the types of works managed by AISGE, as it has committed to provide the user with a list of performers and audiovisual recordings containing their performances, in relation to the period subject to settlement and/or negotiation, as well as the list of agreements concluded with foreign entities and organizations, indicating the terms and conditions agreed with each of them (see the first legal basis).</w:t>
        <w:br/>
        <w:t>In this regard, Commitment Second, letter B), number 1. of the Annex states that "Subject to the appropriate authorization from the Spanish Agency for Data Protection... AISGE commits... to provide the user who so wishes access to a computerized database..." containing data related to rights holders and works and other audiovisual recordings managed by it, and that "To this end, and subject to the aforementioned authorization from the Spanish Agency for Data Protection, AISGE commits to provide at each of its offices at least one computer terminal available to all those users of its repertoire who, having requested an appointment in advance, wish to consult such data."</w:t>
        <w:br/>
        <w:t>The Council considers that the regulations on the protection of personal data do not pose any obstacle for the user to access the data related in that commitment, as neither the authorization of the holder of those data nor the authorization of the Spanish Agency for Data Protection (AEPD) mentioned in that commitment is necessary, and in this regard, the Agency itself has expressed its opinion.</w:t>
        <w:br/>
        <w:t>Indeed, in the context of sanctioning file 630/07 DAMA/SGAE resolved by this Council through a Resolution of conventional termination dated June 24, 2008, the AEPD issued a report dated April 28, 2008 regarding a common database between SGAE and DAMA, related to audiovisual works, which contains data related to the rights holders and the entity entrusted with their management, as well as access to it by users of the works via the Internet. The opinion of the AEPD is extracted in the Factual Background 16 of the aforementioned Resolution in the following terms, which are reproduced for their clarity:</w:t>
        <w:br/>
        <w:t>"the [Competition Defense] Service considers both the creation of the database and its possible access by users necessary for the adequate restoration of the aforementioned guarantees." The AEPD then recalls that both Law 16/1989 and the current Law 15/2007, on Competition Defense, establish the legal obligation to comply with the Agreements of conventional termination and that among the possible duties imposed therein is the processing or communication of personal data, "there being a legal obligation to proceed with such processing or transfer, once the agreement or resolution has been duly adopted," recalling that Article 10.2 a) of the Regulation implementing Organic Law 15/1999, approved by Royal Decree 1720/2007, of December 21, "provides that the consent of the</w:t>
      </w:r>
    </w:p>
    <w:p>
      <w:r>
        <w:rPr>
          <w:b/>
        </w:rPr>
        <w:t>[Pages 34–35]</w:t>
      </w:r>
    </w:p>
    <w:p>
      <w:r>
        <w:t>affected "a) it is authorized by a norm with the rank of Law or a community law norm and, in particular, when one of the following cases occurs: -the processing or transfer aims to satisfy a legitimate interest of the data controller or the transferee protected by such norms, provided that the interest or the fundamental rights and freedoms of the data subjects provided in Article 1 of Organic Law 15/1999, of December 13, do not prevail."</w:t>
      </w:r>
    </w:p>
    <w:p>
      <w:r>
        <w:t>Finally, regarding "the data that may be accessible to users," the AEPD refers to the ATC itself when it states that the database "will allow users of audiovisual works to know which repertoire they are paying for." Furthermore, it recalls Article 4.1 of Organic Law 15/1999, which states that personal data may be processed "when they are adequate, relevant, and not excessive in relation to the scope and the specific, explicit, and legitimate purposes for which they have been obtained." The AEPD concludes that "it would be possible to publish the data related to the authors of the audiovisual works referred to in the database when such publication is necessary for the fulfillment of the purpose pursued by the Agreement, which is, as already indicated, 'that users of audiovisual works can know which repertoire they are paying for.'"</w:t>
      </w:r>
    </w:p>
    <w:p>
      <w:r>
        <w:t>In short, therefore, user access to the personal data indicated in the aforementioned commitment of AISGE cannot be subject to any authorization by the AEPD.</w:t>
      </w:r>
    </w:p>
    <w:p>
      <w:r>
        <w:t>Likewise, since effective access by the user to the content of the repertoire is necessary for the commitments presented by AISGE to meet the application requirements of Article 52.1 of the LDC, the Council wishes to point out that a remote and secure access design via the Internet would have been more appropriate for this purpose than the commitment involving access through a computer terminal located at the AISGE headquarters and by appointment. However, in application of the principle of proportionality, considering (i) the costs that designing a secure remote access system may entail, (ii) the characteristics of the AISGE repertoire (rights of simple remuneration of mandatory collective administration by legal provision), and (iii) the entity and number of potential users of the rights that are the subject of this file, the Council deems the access system outlined in the commitment to be appropriate in this case.</w:t>
      </w:r>
    </w:p>
    <w:p>
      <w:r>
        <w:t>In light of the above, having regard to the cited legal and regulatory provisions and others of general application, the Council of the National Competition Commission HAS RESOLVED</w:t>
      </w:r>
    </w:p>
    <w:p>
      <w:r>
        <w:t>FIRST.- To declare the Conventional Termination of the sanctioning file S/0156/09 AISGE, deeming the commitments presented by ARTISTAS INTÉRPRETES SOCIEDAD DE GESTIÓN (AISGE) on May 14, 2010, summarized in Annex 1 of the Proposal for Conventional Termination (attached to this Resolution), to be adequate and binding, complemented by the modifications or clarifications offered by AISGE in its letter dated July 9, 2010, and with the considerations made by this Council in the third legal basis of this Resolution.</w:t>
      </w:r>
    </w:p>
    <w:p>
      <w:r>
        <w:t>SECOND.- ARTISTAS INTÉRPRETES SOCIEDAD DE GESTIÓN (AISGE) is obliged to comply with the commitments referenced in the previous numeral. The non-compliance with the commitments presented will be considered a very serious infringement in accordance with Article 62.4.c) of the LDC and Article 39.7 of the Competition Defense Regulation.</w:t>
      </w:r>
    </w:p>
    <w:p>
      <w:r>
        <w:t>THIRD.- ARTISTAS INTÉRPRETES SOCIEDAD DE GESTIÓN (AISGE) will communicate this Resolution of conventional termination along with its annex to all television operators who are users of audiovisual recordings from its repertoire, except for those who are interested parties in this file.</w:t>
      </w:r>
    </w:p>
    <w:p>
      <w:r>
        <w:t>FOURTH.- To entrust the Directorate of Investigation with the monitoring of this Resolution of Conventional Termination.</w:t>
      </w:r>
    </w:p>
    <w:p>
      <w:r>
        <w:t>For these purposes, ARTISTAS INTÉRPRETES SOCIEDAD DE GESTIÓN (AISGE) will send to the Directorate of Investigation of the CNC a copy of the general rates communicated to the Ministry of Culture, as well as, where appropriate, a copy of subsequent agreements with television operators that replace and adapt those currently in force.</w:t>
      </w:r>
    </w:p>
    <w:p>
      <w:r>
        <w:t>This Resolution shall be communicated to the Directorate of Investigation and notified to the interested parties, informing them that there is no administrative appeal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